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10" w:rsidRDefault="008A6AD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Ямало-Ненецкого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ноября 2013 года № 958-П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комплексной программы </w:t>
      </w:r>
      <w:r>
        <w:rPr>
          <w:rFonts w:ascii="Times New Roman" w:hAnsi="Times New Roman" w:cs="Times New Roman"/>
          <w:sz w:val="28"/>
          <w:szCs w:val="28"/>
        </w:rPr>
        <w:br/>
        <w:t>«Оказание содействия добровольному переселению соотечественников в Ямало-Ненецкий автономный округ на 2013-2018 годы»</w:t>
      </w:r>
      <w:r w:rsidRPr="008A6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DC" w:rsidRPr="008A6ADC" w:rsidRDefault="008A6ADC" w:rsidP="008A6ADC"/>
    <w:p w:rsidR="00361D10" w:rsidRPr="008A6ADC" w:rsidRDefault="00361D10">
      <w:pPr>
        <w:rPr>
          <w:rFonts w:ascii="Times New Roman" w:hAnsi="Times New Roman" w:cs="Times New Roman"/>
          <w:sz w:val="28"/>
          <w:szCs w:val="28"/>
        </w:rPr>
      </w:pPr>
      <w:r w:rsidRPr="008A6ADC">
        <w:rPr>
          <w:rFonts w:ascii="Times New Roman" w:hAnsi="Times New Roman" w:cs="Times New Roman"/>
          <w:sz w:val="28"/>
          <w:szCs w:val="28"/>
        </w:rPr>
        <w:t>Критерии отбора участников Государственной программы.</w:t>
      </w:r>
    </w:p>
    <w:p w:rsidR="008A6ADC" w:rsidRPr="008D4DFA" w:rsidRDefault="008A6ADC" w:rsidP="008A6ADC">
      <w:pPr>
        <w:pStyle w:val="ConsPlusNormal"/>
        <w:ind w:firstLine="709"/>
        <w:jc w:val="both"/>
      </w:pPr>
      <w:r w:rsidRPr="008D4DFA">
        <w:t xml:space="preserve">Одним из факторов снижения рисков реализации Программы является соответствие соотечественников, изъявивших желание стать участниками Государственной </w:t>
      </w:r>
      <w:hyperlink r:id="rId5" w:history="1">
        <w:r w:rsidRPr="008D4DFA">
          <w:t>программы</w:t>
        </w:r>
      </w:hyperlink>
      <w:r w:rsidRPr="008D4DFA">
        <w:t>, критериям отбора, определенным Программой:</w:t>
      </w:r>
    </w:p>
    <w:p w:rsidR="008A6ADC" w:rsidRPr="008D4DFA" w:rsidRDefault="008A6ADC" w:rsidP="008A6ADC">
      <w:pPr>
        <w:pStyle w:val="ConsPlusNormal"/>
        <w:ind w:firstLine="709"/>
        <w:jc w:val="both"/>
      </w:pPr>
      <w:r w:rsidRPr="008D4DFA">
        <w:t xml:space="preserve">1) стать участником Государственной </w:t>
      </w:r>
      <w:hyperlink r:id="rId6" w:history="1">
        <w:r w:rsidRPr="008D4DFA">
          <w:t>программы</w:t>
        </w:r>
      </w:hyperlink>
      <w:r w:rsidRPr="008D4DFA">
        <w:t xml:space="preserve"> могут лица из числа соотечественников в трудоспособном возрасте, знающие русский язык и имеющие профессиональную квалификационную подготовку, соответствующую потребностям в рабочей силе на территории вселения, при наличии гарантии работодателя о трудоустройстве;</w:t>
      </w:r>
    </w:p>
    <w:p w:rsidR="008A6ADC" w:rsidRPr="008D4DFA" w:rsidRDefault="008A6ADC" w:rsidP="008A6ADC">
      <w:pPr>
        <w:pStyle w:val="ConsPlusNormal"/>
        <w:ind w:firstLine="709"/>
        <w:jc w:val="both"/>
      </w:pPr>
      <w:r w:rsidRPr="008D4DFA">
        <w:t xml:space="preserve">2) образование и опыт работы участника Государственной </w:t>
      </w:r>
      <w:hyperlink r:id="rId7" w:history="1">
        <w:r w:rsidRPr="008D4DFA">
          <w:t>программы</w:t>
        </w:r>
      </w:hyperlink>
      <w:r w:rsidRPr="008D4DFA">
        <w:t xml:space="preserve"> должны соответствовать квалификационным требованиям, предъявляемым к вакантной должности, на которую претендует участник Государственной </w:t>
      </w:r>
      <w:hyperlink r:id="rId8" w:history="1">
        <w:r w:rsidRPr="008D4DFA">
          <w:t>программы</w:t>
        </w:r>
      </w:hyperlink>
      <w:r w:rsidRPr="008D4DFA">
        <w:t>. Опыт работы по профессии должен быть не менее трех лет в течение пятилетнего периода, предшествующего моменту подачи заявления. Для молодых специалистов - выпускников образовательных организаций среднего профессионального и высшего образования в возрасте до 30 лет включительно стаж работы по полученной профессии должен составлять не менее одного года на момент подачи заявления при условии трудоустройства в течение одного года с момента окончания образовательной организации профессионального образования;</w:t>
      </w:r>
    </w:p>
    <w:p w:rsidR="008A6ADC" w:rsidRPr="008D4DFA" w:rsidRDefault="008A6ADC" w:rsidP="008A6ADC">
      <w:pPr>
        <w:pStyle w:val="ConsPlusNormal"/>
        <w:ind w:firstLine="709"/>
        <w:jc w:val="both"/>
      </w:pPr>
      <w:r w:rsidRPr="008D4DFA">
        <w:t xml:space="preserve">3) при согласовании кандидатур учитывается обеспеченность местами в организациях социального обслуживания при наличии нетрудоспособных членов семьи потенциального участника Государственной </w:t>
      </w:r>
      <w:hyperlink r:id="rId9" w:history="1">
        <w:r w:rsidRPr="008D4DFA">
          <w:t>программы</w:t>
        </w:r>
      </w:hyperlink>
      <w:r w:rsidRPr="008D4DFA">
        <w:t>;</w:t>
      </w:r>
    </w:p>
    <w:p w:rsidR="008A6ADC" w:rsidRPr="008D4DFA" w:rsidRDefault="008A6ADC" w:rsidP="008A6ADC">
      <w:pPr>
        <w:pStyle w:val="ConsPlusNormal"/>
        <w:ind w:firstLine="709"/>
        <w:jc w:val="both"/>
      </w:pPr>
      <w:proofErr w:type="gramStart"/>
      <w:r w:rsidRPr="008D4DFA">
        <w:t xml:space="preserve">4) при недостаточности предоставляемого на территории вселения служебного и муниципального жилья предпочтение отдается участникам Государственной </w:t>
      </w:r>
      <w:hyperlink r:id="rId10" w:history="1">
        <w:r w:rsidRPr="008D4DFA">
          <w:t>программы</w:t>
        </w:r>
      </w:hyperlink>
      <w:r w:rsidRPr="008D4DFA">
        <w:t xml:space="preserve">, имеющим родственников из числа граждан Российской Федерации, готовых разместить участников Государственной </w:t>
      </w:r>
      <w:hyperlink r:id="rId11" w:history="1">
        <w:r w:rsidRPr="008D4DFA">
          <w:t>программы</w:t>
        </w:r>
      </w:hyperlink>
      <w:r w:rsidRPr="008D4DFA">
        <w:t xml:space="preserve"> и членов их семей и предоставить регистрацию по месту пребывания (проживания); имеющим собственные средства для приобретения жилья или для участия в программе ипотечного кредитования;</w:t>
      </w:r>
      <w:proofErr w:type="gramEnd"/>
    </w:p>
    <w:p w:rsidR="008A6ADC" w:rsidRPr="008D4DFA" w:rsidRDefault="008A6ADC" w:rsidP="008A6ADC">
      <w:pPr>
        <w:pStyle w:val="ConsPlusNormal"/>
        <w:ind w:firstLine="709"/>
        <w:jc w:val="both"/>
      </w:pPr>
      <w:r w:rsidRPr="008D4DFA">
        <w:t xml:space="preserve">5) согласование кандидатур, находящихся в </w:t>
      </w:r>
      <w:proofErr w:type="spellStart"/>
      <w:r w:rsidRPr="008D4DFA">
        <w:t>предпенсионном</w:t>
      </w:r>
      <w:proofErr w:type="spellEnd"/>
      <w:r w:rsidRPr="008D4DFA">
        <w:t xml:space="preserve"> возрасте (за два года до момента наступления оснований для получения страховой пенсии по старости), возможно при заинтересованности работодателя во владении участниками Государственной </w:t>
      </w:r>
      <w:hyperlink r:id="rId12" w:history="1">
        <w:r w:rsidRPr="008D4DFA">
          <w:t>программы</w:t>
        </w:r>
      </w:hyperlink>
      <w:r w:rsidRPr="008D4DFA">
        <w:t xml:space="preserve"> редкими специальностями или наличием высоких профессиональных навыков;</w:t>
      </w:r>
    </w:p>
    <w:p w:rsidR="008A6ADC" w:rsidRPr="008D4DFA" w:rsidRDefault="008A6ADC" w:rsidP="008A6ADC">
      <w:pPr>
        <w:pStyle w:val="ConsPlusNormal"/>
        <w:ind w:firstLine="709"/>
        <w:jc w:val="both"/>
      </w:pPr>
      <w:r w:rsidRPr="008D4DFA">
        <w:t xml:space="preserve">6) учитываются профессиональные навыки (квалификация) и востребованность на рынке </w:t>
      </w:r>
      <w:proofErr w:type="gramStart"/>
      <w:r w:rsidRPr="008D4DFA">
        <w:t xml:space="preserve">труда членов семьи участников Государственной </w:t>
      </w:r>
      <w:hyperlink r:id="rId13" w:history="1">
        <w:r w:rsidRPr="008D4DFA">
          <w:t>программы</w:t>
        </w:r>
        <w:proofErr w:type="gramEnd"/>
      </w:hyperlink>
      <w:r w:rsidRPr="008D4DFA">
        <w:t>;</w:t>
      </w:r>
    </w:p>
    <w:p w:rsidR="008A6ADC" w:rsidRPr="008D4DFA" w:rsidRDefault="008A6ADC" w:rsidP="008A6ADC">
      <w:pPr>
        <w:pStyle w:val="ConsPlusNormal"/>
        <w:ind w:firstLine="709"/>
        <w:jc w:val="both"/>
      </w:pPr>
      <w:r w:rsidRPr="008D4DFA">
        <w:t xml:space="preserve">7) в связи с тем, что на территории автономного округа отсутствуют образовательные организации высшего образования, получение образования </w:t>
      </w:r>
      <w:r w:rsidRPr="008D4DFA">
        <w:lastRenderedPageBreak/>
        <w:t xml:space="preserve">участниками Государственной </w:t>
      </w:r>
      <w:hyperlink r:id="rId14" w:history="1">
        <w:r w:rsidRPr="008D4DFA">
          <w:t>программы</w:t>
        </w:r>
      </w:hyperlink>
      <w:r w:rsidRPr="008D4DFA">
        <w:t xml:space="preserve"> возможно в образовательных организациях среднего профессионального образования, расположенных на территории автономного округа;</w:t>
      </w:r>
    </w:p>
    <w:p w:rsidR="008A6ADC" w:rsidRPr="008D4DFA" w:rsidRDefault="008A6ADC" w:rsidP="008A6ADC">
      <w:pPr>
        <w:pStyle w:val="ConsPlusNormal"/>
        <w:ind w:firstLine="709"/>
        <w:jc w:val="both"/>
      </w:pPr>
      <w:r w:rsidRPr="008D4DFA">
        <w:t xml:space="preserve">8) участие в </w:t>
      </w:r>
      <w:hyperlink r:id="rId15" w:history="1">
        <w:r w:rsidRPr="008D4DFA">
          <w:t>Программе</w:t>
        </w:r>
      </w:hyperlink>
      <w:r w:rsidRPr="008D4DFA">
        <w:t xml:space="preserve"> соотечественников, осуществляющих предпринимательскую деятельность, возможно только в приоритетных сферах развития малого и среднего предпринимательства на территории вселения. Перечень приоритетных сфер развития малого и среднего предпринимательства на территории автономного округа представлен в приложении № 8 к Программе;</w:t>
      </w:r>
    </w:p>
    <w:p w:rsidR="008A6ADC" w:rsidRPr="008D4DFA" w:rsidRDefault="008A6ADC" w:rsidP="008A6ADC">
      <w:pPr>
        <w:pStyle w:val="ConsPlusNormal"/>
        <w:ind w:firstLine="709"/>
        <w:jc w:val="both"/>
      </w:pPr>
      <w:bookmarkStart w:id="1" w:name="Par379"/>
      <w:bookmarkEnd w:id="1"/>
      <w:r w:rsidRPr="008D4DFA">
        <w:t xml:space="preserve">9) согласование кандидатур ученых и специалистов - инженеров, занимающихся актуальными научными и технологическими проблемами возможно при наличии гарантии осуществления ими деятельности по приоритетным направлениям государственной научно-технической и инновационной политики, реализуемой на территории автономного округа. </w:t>
      </w:r>
      <w:hyperlink w:anchor="Par3844" w:history="1">
        <w:r w:rsidRPr="008D4DFA">
          <w:t>Перечень</w:t>
        </w:r>
      </w:hyperlink>
      <w:r w:rsidRPr="008D4DFA">
        <w:t xml:space="preserve"> приоритетных направлений инновационной деятельности и приоритетных направлений реализации на территории автономного округа государственной научно-технической политики представлен в приложении № 9 к Программе.</w:t>
      </w:r>
    </w:p>
    <w:p w:rsidR="00361D10" w:rsidRPr="008A6ADC" w:rsidRDefault="00361D10" w:rsidP="008A6AD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61D10" w:rsidRPr="008A6ADC" w:rsidSect="008A6ADC">
      <w:pgSz w:w="11900" w:h="16800"/>
      <w:pgMar w:top="993" w:right="800" w:bottom="709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D10"/>
    <w:rsid w:val="00361D10"/>
    <w:rsid w:val="008A6ADC"/>
    <w:rsid w:val="008D4DFA"/>
    <w:rsid w:val="009867F9"/>
    <w:rsid w:val="00B558B8"/>
    <w:rsid w:val="00D5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F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7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867F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67F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67F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867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867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867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867F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867F9"/>
    <w:rPr>
      <w:b/>
      <w:color w:val="26282F"/>
    </w:rPr>
  </w:style>
  <w:style w:type="character" w:customStyle="1" w:styleId="a4">
    <w:name w:val="Гипертекстовая ссылка"/>
    <w:uiPriority w:val="99"/>
    <w:rsid w:val="009867F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9867F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867F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867F9"/>
  </w:style>
  <w:style w:type="paragraph" w:customStyle="1" w:styleId="a8">
    <w:name w:val="Внимание: недобросовестность!"/>
    <w:basedOn w:val="a6"/>
    <w:next w:val="a"/>
    <w:uiPriority w:val="99"/>
    <w:rsid w:val="009867F9"/>
  </w:style>
  <w:style w:type="character" w:customStyle="1" w:styleId="a9">
    <w:name w:val="Выделение для Базового Поиска"/>
    <w:uiPriority w:val="99"/>
    <w:rsid w:val="009867F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867F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867F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867F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867F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9867F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867F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867F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9867F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867F9"/>
    <w:pPr>
      <w:ind w:left="1612" w:hanging="892"/>
    </w:pPr>
  </w:style>
  <w:style w:type="character" w:customStyle="1" w:styleId="af3">
    <w:name w:val="Заголовок чужого сообщения"/>
    <w:uiPriority w:val="99"/>
    <w:rsid w:val="009867F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867F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867F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867F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867F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867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867F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867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867F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867F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867F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867F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867F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867F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867F9"/>
  </w:style>
  <w:style w:type="paragraph" w:customStyle="1" w:styleId="aff2">
    <w:name w:val="Моноширинный"/>
    <w:basedOn w:val="a"/>
    <w:next w:val="a"/>
    <w:uiPriority w:val="99"/>
    <w:rsid w:val="009867F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867F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867F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867F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867F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867F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867F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867F9"/>
    <w:pPr>
      <w:ind w:left="140"/>
    </w:pPr>
  </w:style>
  <w:style w:type="character" w:customStyle="1" w:styleId="affa">
    <w:name w:val="Опечатки"/>
    <w:uiPriority w:val="99"/>
    <w:rsid w:val="009867F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867F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867F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867F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867F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867F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867F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867F9"/>
  </w:style>
  <w:style w:type="paragraph" w:customStyle="1" w:styleId="afff2">
    <w:name w:val="Примечание."/>
    <w:basedOn w:val="a6"/>
    <w:next w:val="a"/>
    <w:uiPriority w:val="99"/>
    <w:rsid w:val="009867F9"/>
  </w:style>
  <w:style w:type="character" w:customStyle="1" w:styleId="afff3">
    <w:name w:val="Продолжение ссылки"/>
    <w:basedOn w:val="a4"/>
    <w:uiPriority w:val="99"/>
    <w:rsid w:val="009867F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867F9"/>
    <w:pPr>
      <w:ind w:right="118" w:firstLine="0"/>
    </w:pPr>
  </w:style>
  <w:style w:type="character" w:customStyle="1" w:styleId="afff5">
    <w:name w:val="Сравнение редакций"/>
    <w:uiPriority w:val="99"/>
    <w:rsid w:val="009867F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867F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867F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867F9"/>
  </w:style>
  <w:style w:type="character" w:customStyle="1" w:styleId="afff9">
    <w:name w:val="Ссылка на утративший силу документ"/>
    <w:uiPriority w:val="99"/>
    <w:rsid w:val="009867F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867F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867F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867F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9867F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867F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867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67F9"/>
    <w:pPr>
      <w:spacing w:before="300"/>
      <w:ind w:firstLine="0"/>
      <w:jc w:val="left"/>
    </w:pPr>
  </w:style>
  <w:style w:type="paragraph" w:customStyle="1" w:styleId="ConsPlusNormal">
    <w:name w:val="ConsPlusNormal"/>
    <w:rsid w:val="008A6AD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77685493D3DCD5F5096D4DCF7439261CBE56D7B1580A8E39D05F02447D81A107458C92A71F00BRB5AJ" TargetMode="External"/><Relationship Id="rId13" Type="http://schemas.openxmlformats.org/officeDocument/2006/relationships/hyperlink" Target="consultantplus://offline/ref=9E477685493D3DCD5F5096D4DCF7439261CBE56D7B1580A8E39D05F02447D81A107458C92A71F00BRB5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77685493D3DCD5F5096D4DCF7439261CBE56D7B1580A8E39D05F02447D81A107458C92A71F00BRB5AJ" TargetMode="External"/><Relationship Id="rId12" Type="http://schemas.openxmlformats.org/officeDocument/2006/relationships/hyperlink" Target="consultantplus://offline/ref=9E477685493D3DCD5F5096D4DCF7439261CBE56D7B1580A8E39D05F02447D81A107458C92A71F00BRB5A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77685493D3DCD5F5096D4DCF7439261CBE56D7B1580A8E39D05F02447D81A107458C92A71F00BRB5AJ" TargetMode="External"/><Relationship Id="rId11" Type="http://schemas.openxmlformats.org/officeDocument/2006/relationships/hyperlink" Target="consultantplus://offline/ref=9E477685493D3DCD5F5096D4DCF7439261CBE56D7B1580A8E39D05F02447D81A107458C92A71F00BRB5AJ" TargetMode="External"/><Relationship Id="rId5" Type="http://schemas.openxmlformats.org/officeDocument/2006/relationships/hyperlink" Target="consultantplus://offline/ref=9E477685493D3DCD5F5096D4DCF7439261CBE56D7B1580A8E39D05F02447D81A107458C92A71F00BRB5AJ" TargetMode="External"/><Relationship Id="rId15" Type="http://schemas.openxmlformats.org/officeDocument/2006/relationships/hyperlink" Target="consultantplus://offline/ref=9E477685493D3DCD5F5096D4DCF7439261CBE56D7B1580A8E39D05F02447D81A107458C92A71F00BRB5AJ" TargetMode="External"/><Relationship Id="rId10" Type="http://schemas.openxmlformats.org/officeDocument/2006/relationships/hyperlink" Target="consultantplus://offline/ref=9E477685493D3DCD5F5096D4DCF7439261CBE56D7B1580A8E39D05F02447D81A107458C92A71F00BRB5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77685493D3DCD5F5096D4DCF7439261CBE56D7B1580A8E39D05F02447D81A107458C92A71F00BRB5AJ" TargetMode="External"/><Relationship Id="rId14" Type="http://schemas.openxmlformats.org/officeDocument/2006/relationships/hyperlink" Target="consultantplus://offline/ref=9E477685493D3DCD5F5096D4DCF7439261CBE56D7B1580A8E39D05F02447D81A107458C92A71F00BRB5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2016-07-20T09:34:00Z</dcterms:created>
  <dcterms:modified xsi:type="dcterms:W3CDTF">2016-07-20T09:34:00Z</dcterms:modified>
</cp:coreProperties>
</file>