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8D" w:rsidRPr="00EC6EC8" w:rsidRDefault="00EC6EC8" w:rsidP="00395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СВОДНЫЙ АНАЛИЗ</w:t>
      </w:r>
    </w:p>
    <w:p w:rsidR="00EC6EC8" w:rsidRDefault="00EC6EC8" w:rsidP="00395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C6EC8">
        <w:rPr>
          <w:rFonts w:ascii="Times New Roman" w:hAnsi="Times New Roman" w:cs="Times New Roman"/>
          <w:b/>
          <w:sz w:val="24"/>
          <w:szCs w:val="28"/>
        </w:rPr>
        <w:t>международной деятель</w:t>
      </w:r>
      <w:r>
        <w:rPr>
          <w:rFonts w:ascii="Times New Roman" w:hAnsi="Times New Roman" w:cs="Times New Roman"/>
          <w:b/>
          <w:sz w:val="24"/>
          <w:szCs w:val="28"/>
        </w:rPr>
        <w:t>ности муниципальных образований</w:t>
      </w:r>
    </w:p>
    <w:p w:rsidR="00EC6EC8" w:rsidRDefault="00EC6EC8" w:rsidP="00395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C6EC8">
        <w:rPr>
          <w:rFonts w:ascii="Times New Roman" w:hAnsi="Times New Roman" w:cs="Times New Roman"/>
          <w:b/>
          <w:sz w:val="24"/>
          <w:szCs w:val="28"/>
        </w:rPr>
        <w:t>в Ямало-Ненецком автономном округе в 2017 году</w:t>
      </w:r>
    </w:p>
    <w:p w:rsidR="00EC6EC8" w:rsidRDefault="00EC6EC8" w:rsidP="00EC6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EC8" w:rsidRDefault="00EC6EC8" w:rsidP="00EC6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EC8" w:rsidRDefault="00E355AA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Международная деятельность муниципальных образований </w:t>
      </w:r>
      <w:r w:rsidR="00240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Ямало-Ненецком автономном округе в 2017 году была тради</w:t>
      </w:r>
      <w:r w:rsidR="00240463">
        <w:rPr>
          <w:rFonts w:ascii="Times New Roman" w:hAnsi="Times New Roman" w:cs="Times New Roman"/>
          <w:sz w:val="28"/>
          <w:szCs w:val="28"/>
        </w:rPr>
        <w:t>ционно направлена на укрепление</w:t>
      </w:r>
      <w:r>
        <w:rPr>
          <w:rFonts w:ascii="Times New Roman" w:hAnsi="Times New Roman" w:cs="Times New Roman"/>
          <w:sz w:val="28"/>
          <w:szCs w:val="28"/>
        </w:rPr>
        <w:t xml:space="preserve"> культурно-гуманитарных связей, дальнейшее развитие сотрудничества с партнёрами по линии побратимства и реализацию совместных проектов в области физической культуры и спорта, культуры, образования </w:t>
      </w:r>
      <w:r w:rsidR="00240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науки и молодёжной политики.</w:t>
      </w:r>
    </w:p>
    <w:p w:rsidR="00E355AA" w:rsidRDefault="00E355AA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мероприятий международного характера составило 15</w:t>
      </w:r>
      <w:r w:rsidR="00FF25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из которых 3</w:t>
      </w:r>
      <w:r w:rsidR="00903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совместно с органами государственной власти региона, при этом 1</w:t>
      </w:r>
      <w:r w:rsidR="002D31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было организовано при одновременном участии нескольких муниципальных образований. Следует отметить, что </w:t>
      </w:r>
      <w:r>
        <w:rPr>
          <w:rFonts w:ascii="Times New Roman" w:hAnsi="Times New Roman" w:cs="Times New Roman"/>
          <w:sz w:val="28"/>
          <w:szCs w:val="28"/>
        </w:rPr>
        <w:br/>
        <w:t xml:space="preserve">по сравнению с 2016 годом данные показатели были увеличены на </w:t>
      </w:r>
      <w:r w:rsidR="00903905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39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903905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84537E">
        <w:rPr>
          <w:rFonts w:ascii="Times New Roman" w:hAnsi="Times New Roman" w:cs="Times New Roman"/>
          <w:sz w:val="28"/>
          <w:szCs w:val="28"/>
        </w:rPr>
        <w:t>2</w:t>
      </w:r>
      <w:r w:rsidR="00842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="00225E83">
        <w:rPr>
          <w:rFonts w:ascii="Times New Roman" w:hAnsi="Times New Roman" w:cs="Times New Roman"/>
          <w:sz w:val="28"/>
          <w:szCs w:val="28"/>
        </w:rPr>
        <w:t xml:space="preserve"> (см. рис.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E83" w:rsidRPr="00225E83" w:rsidRDefault="00225E83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40463" w:rsidRDefault="00F10200" w:rsidP="00225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2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3114040"/>
            <wp:effectExtent l="19050" t="0" r="196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0463" w:rsidRPr="00BC2DC5" w:rsidRDefault="00225E83" w:rsidP="00225E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8"/>
        </w:rPr>
        <w:t>Рис.</w:t>
      </w:r>
      <w:r w:rsidR="00E765C5">
        <w:rPr>
          <w:rFonts w:ascii="Times New Roman" w:hAnsi="Times New Roman" w:cs="Times New Roman"/>
          <w:b/>
          <w:i/>
          <w:sz w:val="20"/>
          <w:szCs w:val="28"/>
        </w:rPr>
        <w:t> </w:t>
      </w:r>
      <w:r>
        <w:rPr>
          <w:rFonts w:ascii="Times New Roman" w:hAnsi="Times New Roman" w:cs="Times New Roman"/>
          <w:b/>
          <w:i/>
          <w:sz w:val="20"/>
          <w:szCs w:val="28"/>
        </w:rPr>
        <w:t xml:space="preserve">1 </w:t>
      </w:r>
      <w:r w:rsidR="00BC2DC5">
        <w:rPr>
          <w:rFonts w:ascii="Times New Roman" w:hAnsi="Times New Roman" w:cs="Times New Roman"/>
          <w:b/>
          <w:i/>
          <w:sz w:val="20"/>
          <w:szCs w:val="28"/>
        </w:rPr>
        <w:t>Общие количественные показатели состоявшихся международных мероприятий по линии муниципальных образований в Ямало-Ненецком автономном округе в 2017 году.</w:t>
      </w:r>
    </w:p>
    <w:p w:rsidR="00225E83" w:rsidRPr="00225E83" w:rsidRDefault="00225E83" w:rsidP="00225E83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E355AA" w:rsidRDefault="00E355AA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территории проведения мероприятия разделились следующим образом: на территории зарубежных стран </w:t>
      </w:r>
      <w:r w:rsidR="00240463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73 мероприятия, Ямало-Ненецкий автономный округ стал площадкой для 4</w:t>
      </w:r>
      <w:r w:rsidR="00FF25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инициатив, </w:t>
      </w:r>
      <w:r w:rsidR="00240463">
        <w:rPr>
          <w:rFonts w:ascii="Times New Roman" w:hAnsi="Times New Roman" w:cs="Times New Roman"/>
          <w:sz w:val="28"/>
          <w:szCs w:val="28"/>
        </w:rPr>
        <w:t xml:space="preserve">в 36 мероприятиях </w:t>
      </w:r>
      <w:r w:rsidR="00240463" w:rsidRPr="00240463">
        <w:rPr>
          <w:rFonts w:ascii="Times New Roman" w:hAnsi="Times New Roman" w:cs="Times New Roman"/>
          <w:sz w:val="28"/>
          <w:szCs w:val="28"/>
        </w:rPr>
        <w:t xml:space="preserve">представители муниципальных образований региона приняли участие </w:t>
      </w:r>
      <w:r w:rsidR="00240463">
        <w:rPr>
          <w:rFonts w:ascii="Times New Roman" w:hAnsi="Times New Roman" w:cs="Times New Roman"/>
          <w:sz w:val="28"/>
          <w:szCs w:val="28"/>
        </w:rPr>
        <w:br/>
      </w:r>
      <w:r w:rsidR="00240463" w:rsidRPr="00240463">
        <w:rPr>
          <w:rFonts w:ascii="Times New Roman" w:hAnsi="Times New Roman" w:cs="Times New Roman"/>
          <w:sz w:val="28"/>
          <w:szCs w:val="28"/>
        </w:rPr>
        <w:t>на территории других субъектов Российской Федерации</w:t>
      </w:r>
      <w:r w:rsidR="00240463">
        <w:rPr>
          <w:rFonts w:ascii="Times New Roman" w:hAnsi="Times New Roman" w:cs="Times New Roman"/>
          <w:sz w:val="28"/>
          <w:szCs w:val="28"/>
        </w:rPr>
        <w:t xml:space="preserve"> (см. рис. </w:t>
      </w:r>
      <w:r w:rsidR="00BC2DC5">
        <w:rPr>
          <w:rFonts w:ascii="Times New Roman" w:hAnsi="Times New Roman" w:cs="Times New Roman"/>
          <w:sz w:val="28"/>
          <w:szCs w:val="28"/>
        </w:rPr>
        <w:t>2</w:t>
      </w:r>
      <w:r w:rsidR="00240463">
        <w:rPr>
          <w:rFonts w:ascii="Times New Roman" w:hAnsi="Times New Roman" w:cs="Times New Roman"/>
          <w:sz w:val="28"/>
          <w:szCs w:val="28"/>
        </w:rPr>
        <w:t>).</w:t>
      </w:r>
    </w:p>
    <w:p w:rsidR="00240463" w:rsidRPr="00240463" w:rsidRDefault="00240463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240463" w:rsidRDefault="00791DD2" w:rsidP="00240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DD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01590" cy="2902226"/>
            <wp:effectExtent l="19050" t="0" r="2286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0463" w:rsidRPr="00C90903" w:rsidRDefault="00E765C5" w:rsidP="00240463">
      <w:pPr>
        <w:pStyle w:val="1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Рис. </w:t>
      </w:r>
      <w:r w:rsidR="00BC2DC5">
        <w:rPr>
          <w:b/>
          <w:i/>
          <w:sz w:val="20"/>
          <w:szCs w:val="20"/>
        </w:rPr>
        <w:t>2</w:t>
      </w:r>
      <w:r w:rsidR="00240463" w:rsidRPr="00C90903">
        <w:rPr>
          <w:b/>
          <w:i/>
          <w:sz w:val="20"/>
          <w:szCs w:val="20"/>
        </w:rPr>
        <w:t xml:space="preserve"> Распределение международных мероприятий в муниципальных образованиях Ямало-Ненецкого автономного округа по территории проведения в</w:t>
      </w:r>
      <w:r w:rsidR="00240463">
        <w:rPr>
          <w:b/>
          <w:i/>
          <w:sz w:val="20"/>
          <w:szCs w:val="20"/>
        </w:rPr>
        <w:t>о втор</w:t>
      </w:r>
      <w:r w:rsidR="00240463" w:rsidRPr="00C90903">
        <w:rPr>
          <w:b/>
          <w:i/>
          <w:sz w:val="20"/>
          <w:szCs w:val="20"/>
        </w:rPr>
        <w:t>ом полугодии 2017 года</w:t>
      </w:r>
    </w:p>
    <w:p w:rsidR="00240463" w:rsidRPr="00240463" w:rsidRDefault="00240463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E355AA" w:rsidRDefault="00E355AA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проведённого мониторинга, основанного на публикациях </w:t>
      </w:r>
      <w:r w:rsidR="00994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сведений, поступивших из муниципальных образований и организованных и проведённых совместных мероприятий, самыми активными в сфере развития международных связей в 2017 году среди городских округов являлись города Новый Уренгой, Салехард и Ноябрьск, муниципальных районов – Красноселькупский, </w:t>
      </w:r>
      <w:r w:rsidR="00842FDC">
        <w:rPr>
          <w:rFonts w:ascii="Times New Roman" w:hAnsi="Times New Roman" w:cs="Times New Roman"/>
          <w:sz w:val="28"/>
          <w:szCs w:val="28"/>
        </w:rPr>
        <w:t xml:space="preserve">Пуровский и </w:t>
      </w:r>
      <w:r>
        <w:rPr>
          <w:rFonts w:ascii="Times New Roman" w:hAnsi="Times New Roman" w:cs="Times New Roman"/>
          <w:sz w:val="28"/>
          <w:szCs w:val="28"/>
        </w:rPr>
        <w:t>Приуральский районы</w:t>
      </w:r>
      <w:r w:rsidR="00240463">
        <w:rPr>
          <w:rFonts w:ascii="Times New Roman" w:hAnsi="Times New Roman" w:cs="Times New Roman"/>
          <w:sz w:val="28"/>
          <w:szCs w:val="28"/>
        </w:rPr>
        <w:t xml:space="preserve"> (см. рис. </w:t>
      </w:r>
      <w:r w:rsidR="00BC2DC5">
        <w:rPr>
          <w:rFonts w:ascii="Times New Roman" w:hAnsi="Times New Roman" w:cs="Times New Roman"/>
          <w:sz w:val="28"/>
          <w:szCs w:val="28"/>
        </w:rPr>
        <w:t>3</w:t>
      </w:r>
      <w:r w:rsidR="002404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463" w:rsidRPr="00240463" w:rsidRDefault="00240463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40463" w:rsidRDefault="005F2567" w:rsidP="00E76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5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3286760"/>
            <wp:effectExtent l="19050" t="0" r="19685" b="889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0463" w:rsidRPr="00240463" w:rsidRDefault="00240463" w:rsidP="002404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  <w:r w:rsidRPr="00240463">
        <w:rPr>
          <w:rFonts w:ascii="Times New Roman" w:hAnsi="Times New Roman" w:cs="Times New Roman"/>
          <w:b/>
          <w:i/>
          <w:sz w:val="20"/>
        </w:rPr>
        <w:t>Рис.</w:t>
      </w:r>
      <w:r w:rsidR="00E765C5">
        <w:rPr>
          <w:rFonts w:ascii="Times New Roman" w:hAnsi="Times New Roman" w:cs="Times New Roman"/>
          <w:b/>
          <w:i/>
          <w:sz w:val="20"/>
        </w:rPr>
        <w:t> </w:t>
      </w:r>
      <w:r w:rsidR="00BC2DC5">
        <w:rPr>
          <w:rFonts w:ascii="Times New Roman" w:hAnsi="Times New Roman" w:cs="Times New Roman"/>
          <w:b/>
          <w:i/>
          <w:sz w:val="20"/>
        </w:rPr>
        <w:t>3</w:t>
      </w:r>
      <w:r w:rsidRPr="00240463">
        <w:rPr>
          <w:rFonts w:ascii="Times New Roman" w:hAnsi="Times New Roman" w:cs="Times New Roman"/>
          <w:b/>
          <w:i/>
          <w:sz w:val="20"/>
        </w:rPr>
        <w:t xml:space="preserve"> Активность участия муниципальных образований в Ямало-Ненецком автономном округе в мероприятиях международного характера.</w:t>
      </w:r>
    </w:p>
    <w:p w:rsidR="00240463" w:rsidRPr="00240463" w:rsidRDefault="00240463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942739" w:rsidRDefault="00942739" w:rsidP="0094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сотрудничества была представлена 42 странами.</w:t>
      </w:r>
      <w:r w:rsidRPr="009942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Наиболее активно складывалось взаимодействие с представителями Германии, Китая, Испании и США. По линии стран СНГ совместные мероприятия проводились с </w:t>
      </w:r>
      <w:r>
        <w:rPr>
          <w:rFonts w:ascii="Times New Roman" w:hAnsi="Times New Roman" w:cs="Times New Roman"/>
          <w:sz w:val="28"/>
        </w:rPr>
        <w:lastRenderedPageBreak/>
        <w:t>Республикой Беларусь, Республикой Молдова, Республикой Казахстан, Кыргызской Республикой и Республикой Таджикистан (см. рис. 4).</w:t>
      </w:r>
    </w:p>
    <w:p w:rsidR="00942739" w:rsidRDefault="00942739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739" w:rsidRDefault="00791DD2" w:rsidP="00791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D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296" cy="7195931"/>
            <wp:effectExtent l="19050" t="0" r="28354" b="4969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2739" w:rsidRPr="00E765C5" w:rsidRDefault="00942739" w:rsidP="0094273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0"/>
        </w:rPr>
        <w:t>Рис. 4</w:t>
      </w:r>
      <w:r w:rsidRPr="00E765C5">
        <w:rPr>
          <w:rFonts w:ascii="Times New Roman" w:hAnsi="Times New Roman" w:cs="Times New Roman"/>
          <w:b/>
          <w:i/>
          <w:sz w:val="20"/>
        </w:rPr>
        <w:t xml:space="preserve"> География международного сотрудничества муниципальных образований в Ямало-Ненецком автономном округе в 201</w:t>
      </w:r>
      <w:r>
        <w:rPr>
          <w:rFonts w:ascii="Times New Roman" w:hAnsi="Times New Roman" w:cs="Times New Roman"/>
          <w:b/>
          <w:i/>
          <w:sz w:val="20"/>
        </w:rPr>
        <w:t>7</w:t>
      </w:r>
      <w:r w:rsidRPr="00E765C5">
        <w:rPr>
          <w:rFonts w:ascii="Times New Roman" w:hAnsi="Times New Roman" w:cs="Times New Roman"/>
          <w:b/>
          <w:i/>
          <w:sz w:val="20"/>
        </w:rPr>
        <w:t xml:space="preserve"> году</w:t>
      </w:r>
    </w:p>
    <w:p w:rsidR="00942739" w:rsidRPr="00942739" w:rsidRDefault="00942739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40463" w:rsidRDefault="00664153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интерес в качестве основы реализации права </w:t>
      </w:r>
      <w:r w:rsidR="00994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международных связей муниципальными образованиями вызвали такие сферы как физическая культура и спорт, культура, образование </w:t>
      </w:r>
      <w:r w:rsidR="00994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наука (см. рис. </w:t>
      </w:r>
      <w:r w:rsidR="009427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0463" w:rsidRDefault="00791DD2" w:rsidP="0066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DD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61681" cy="3625794"/>
            <wp:effectExtent l="19050" t="0" r="10519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0463" w:rsidRPr="00664153" w:rsidRDefault="00664153" w:rsidP="006641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8"/>
        </w:rPr>
        <w:t>Р</w:t>
      </w:r>
      <w:r w:rsidR="00E765C5">
        <w:rPr>
          <w:rFonts w:ascii="Times New Roman" w:hAnsi="Times New Roman" w:cs="Times New Roman"/>
          <w:b/>
          <w:i/>
          <w:sz w:val="20"/>
          <w:szCs w:val="28"/>
        </w:rPr>
        <w:t>ис. </w:t>
      </w:r>
      <w:r w:rsidR="00942739">
        <w:rPr>
          <w:rFonts w:ascii="Times New Roman" w:hAnsi="Times New Roman" w:cs="Times New Roman"/>
          <w:b/>
          <w:i/>
          <w:sz w:val="20"/>
          <w:szCs w:val="28"/>
        </w:rPr>
        <w:t>5</w:t>
      </w:r>
      <w:r>
        <w:rPr>
          <w:rFonts w:ascii="Times New Roman" w:hAnsi="Times New Roman" w:cs="Times New Roman"/>
          <w:b/>
          <w:i/>
          <w:sz w:val="20"/>
          <w:szCs w:val="28"/>
        </w:rPr>
        <w:t xml:space="preserve"> Сферы развития международных связей муниципальных образований в Ямало-Ненецком автономном округе в 2017 году.</w:t>
      </w:r>
    </w:p>
    <w:p w:rsidR="00240463" w:rsidRPr="00664153" w:rsidRDefault="00240463" w:rsidP="0042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967E1D" w:rsidRDefault="005E34E3" w:rsidP="0061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развитие международных связей Ямало-Ненецкого автономного округа в 2017 году, следует отметить активизацию и рост уровня самостоятельности муниципальных образований по осуществлению международного сотрудничества.</w:t>
      </w:r>
    </w:p>
    <w:p w:rsidR="00D63958" w:rsidRDefault="00D63958" w:rsidP="0061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степени этому способствует реализация проектов в рамках побратимских связей. Ярким примером данной тенденции на протяжении последних нескольких лет выступает город Новый Уренгой. Мероприятия, проводимые совместно с представителями немецкого города Кассель, отличаются стабильностью и высокой результативностью. Активно используется сторонами возможность общения посредством сети Интернет. Так, в 2017 году было проведено 7 он-лайн конференций по вопросам, представляющим взаимный интерес</w:t>
      </w:r>
      <w:r w:rsidR="00C538E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числе, были рассмотрены темы использования инновационных технологий и возобновляемой энергии для обеспечения энергоэффективности, применения законов маркетинга в целях развития муниципалитетов, оказания содействия стартапам, роли религиозных объединений в общественной жизни города.</w:t>
      </w:r>
      <w:r w:rsidR="00792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 этого состоялись двусторонние визи</w:t>
      </w:r>
      <w:r w:rsidR="00C538ED">
        <w:rPr>
          <w:rFonts w:ascii="Times New Roman" w:hAnsi="Times New Roman" w:cs="Times New Roman"/>
          <w:sz w:val="28"/>
          <w:szCs w:val="28"/>
        </w:rPr>
        <w:t>ты в рамках межшкольного обмена, проведена традиционная Летняя школа управления, организован международный мотопробег «Дружба без границ».</w:t>
      </w:r>
    </w:p>
    <w:p w:rsidR="00C538ED" w:rsidRDefault="0071704B" w:rsidP="00610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Успешный опыт сотрудничества муниципалитета с представителями Германии способствовал привлечению представителей города Новый Уренгой </w:t>
      </w:r>
      <w:r>
        <w:rPr>
          <w:rFonts w:ascii="Times New Roman" w:hAnsi="Times New Roman" w:cs="Times New Roman"/>
          <w:sz w:val="28"/>
          <w:szCs w:val="28"/>
        </w:rPr>
        <w:br/>
        <w:t>к реализации</w:t>
      </w:r>
      <w:r w:rsidRPr="00717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2016 года </w:t>
      </w:r>
      <w:r w:rsidRPr="004B7128">
        <w:rPr>
          <w:rFonts w:ascii="Times New Roman" w:hAnsi="Times New Roman" w:cs="Times New Roman"/>
          <w:sz w:val="28"/>
          <w:szCs w:val="28"/>
        </w:rPr>
        <w:t xml:space="preserve">международного межшкольного исследовательского проекта </w:t>
      </w:r>
      <w:r w:rsidRPr="004B7128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4B7128">
        <w:rPr>
          <w:rFonts w:ascii="Times New Roman" w:hAnsi="Times New Roman" w:cs="Times New Roman"/>
          <w:color w:val="000000"/>
          <w:sz w:val="28"/>
          <w:szCs w:val="24"/>
          <w:lang w:val="en-US"/>
        </w:rPr>
        <w:t>Neu</w:t>
      </w:r>
      <w:r w:rsidRPr="004B712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B7128">
        <w:rPr>
          <w:rFonts w:ascii="Times New Roman" w:hAnsi="Times New Roman" w:cs="Times New Roman"/>
          <w:color w:val="000000"/>
          <w:sz w:val="28"/>
          <w:szCs w:val="24"/>
          <w:lang w:val="en-US"/>
        </w:rPr>
        <w:t>hier</w:t>
      </w:r>
      <w:r w:rsidRPr="004B7128">
        <w:rPr>
          <w:rFonts w:ascii="Times New Roman" w:hAnsi="Times New Roman" w:cs="Times New Roman"/>
          <w:color w:val="000000"/>
          <w:sz w:val="28"/>
          <w:szCs w:val="24"/>
        </w:rPr>
        <w:t xml:space="preserve">? </w:t>
      </w:r>
      <w:r w:rsidRPr="004B7128">
        <w:rPr>
          <w:rFonts w:ascii="Times New Roman" w:hAnsi="Times New Roman" w:cs="Times New Roman"/>
          <w:color w:val="000000"/>
          <w:sz w:val="28"/>
          <w:szCs w:val="24"/>
          <w:lang w:val="en-US"/>
        </w:rPr>
        <w:t>Welcome</w:t>
      </w:r>
      <w:r w:rsidRPr="004B7128">
        <w:rPr>
          <w:rFonts w:ascii="Times New Roman" w:hAnsi="Times New Roman" w:cs="Times New Roman"/>
          <w:color w:val="000000"/>
          <w:sz w:val="28"/>
          <w:szCs w:val="24"/>
        </w:rPr>
        <w:t xml:space="preserve">!» </w:t>
      </w:r>
      <w:r w:rsidRPr="004B71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B7128">
        <w:rPr>
          <w:rFonts w:ascii="Times New Roman" w:hAnsi="Times New Roman" w:cs="Times New Roman"/>
          <w:sz w:val="28"/>
          <w:szCs w:val="28"/>
        </w:rPr>
        <w:t>«Биографии новоприбывших. Открытость общества по отношению к новоприбывшим (мигранты, переселенцы, беженцы). Стереотипы, клише, проблематика.»</w:t>
      </w:r>
      <w:r w:rsidRPr="004B7128">
        <w:rPr>
          <w:rFonts w:ascii="Times New Roman" w:hAnsi="Times New Roman" w:cs="Times New Roman"/>
          <w:color w:val="000000"/>
          <w:sz w:val="28"/>
          <w:szCs w:val="24"/>
        </w:rPr>
        <w:t xml:space="preserve">) в рамках грантовой программы Фонда </w:t>
      </w:r>
      <w:r w:rsidRPr="004B7128">
        <w:rPr>
          <w:rFonts w:ascii="Times New Roman" w:hAnsi="Times New Roman" w:cs="Times New Roman"/>
          <w:color w:val="000000"/>
          <w:sz w:val="28"/>
          <w:szCs w:val="24"/>
          <w:lang w:val="en-US"/>
        </w:rPr>
        <w:t>EVZ</w:t>
      </w:r>
      <w:r w:rsidRPr="004B7128">
        <w:rPr>
          <w:rFonts w:ascii="Times New Roman" w:hAnsi="Times New Roman" w:cs="Times New Roman"/>
          <w:color w:val="000000"/>
          <w:sz w:val="28"/>
          <w:szCs w:val="24"/>
        </w:rPr>
        <w:t xml:space="preserve"> (“Память. Ответственность. Будущее» (г. Берлин, Германия)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партнёром </w:t>
      </w:r>
      <w:r w:rsidR="005E17D6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по которому выступает общественная организация соотечественников – интеграционный центр «Признание. Доверие. Перспектива» (г. Дюссельдорф, Германия). </w:t>
      </w:r>
      <w:r w:rsidR="005E17D6">
        <w:rPr>
          <w:rFonts w:ascii="Times New Roman" w:hAnsi="Times New Roman" w:cs="Times New Roman"/>
          <w:color w:val="000000"/>
          <w:sz w:val="28"/>
          <w:szCs w:val="24"/>
        </w:rPr>
        <w:t xml:space="preserve">В 2017 году совместная работа была продолжена и её результаты были представлены в рамках российско-германского фестиваля молодёжных обменов </w:t>
      </w:r>
      <w:r w:rsidR="005E17D6" w:rsidRPr="005E17D6">
        <w:rPr>
          <w:rFonts w:ascii="Times New Roman" w:hAnsi="Times New Roman" w:cs="Times New Roman"/>
          <w:color w:val="000000"/>
          <w:sz w:val="28"/>
          <w:szCs w:val="24"/>
        </w:rPr>
        <w:t>“</w:t>
      </w:r>
      <w:r w:rsidR="005E17D6">
        <w:rPr>
          <w:rFonts w:ascii="Times New Roman" w:hAnsi="Times New Roman" w:cs="Times New Roman"/>
          <w:color w:val="000000"/>
          <w:sz w:val="28"/>
          <w:szCs w:val="24"/>
          <w:lang w:val="en-US"/>
        </w:rPr>
        <w:t>WIR</w:t>
      </w:r>
      <w:r w:rsidR="005E17D6" w:rsidRPr="005E17D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5E17D6">
        <w:rPr>
          <w:rFonts w:ascii="Times New Roman" w:hAnsi="Times New Roman" w:cs="Times New Roman"/>
          <w:color w:val="000000"/>
          <w:sz w:val="28"/>
          <w:szCs w:val="24"/>
        </w:rPr>
        <w:t>МИР</w:t>
      </w:r>
      <w:r w:rsidR="005E17D6" w:rsidRPr="005E17D6">
        <w:rPr>
          <w:rFonts w:ascii="Times New Roman" w:hAnsi="Times New Roman" w:cs="Times New Roman"/>
          <w:color w:val="000000"/>
          <w:sz w:val="28"/>
          <w:szCs w:val="24"/>
        </w:rPr>
        <w:t>”</w:t>
      </w:r>
      <w:r w:rsidR="005E17D6">
        <w:rPr>
          <w:rFonts w:ascii="Times New Roman" w:hAnsi="Times New Roman" w:cs="Times New Roman"/>
          <w:color w:val="000000"/>
          <w:sz w:val="28"/>
          <w:szCs w:val="24"/>
        </w:rPr>
        <w:t xml:space="preserve"> в г. Берлине (Германия).</w:t>
      </w:r>
    </w:p>
    <w:p w:rsidR="00D767CC" w:rsidRDefault="005E17D6" w:rsidP="0061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Активную позицию в установлении прямых двусторонних связей занимает и столица региона – город </w:t>
      </w:r>
      <w:r w:rsidR="00D767CC">
        <w:rPr>
          <w:rFonts w:ascii="Times New Roman" w:hAnsi="Times New Roman" w:cs="Times New Roman"/>
          <w:sz w:val="28"/>
          <w:szCs w:val="28"/>
        </w:rPr>
        <w:t>Салехард.</w:t>
      </w:r>
    </w:p>
    <w:p w:rsidR="005E17D6" w:rsidRDefault="005E17D6" w:rsidP="0061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2017 года при содействии департамента международных </w:t>
      </w:r>
      <w:r w:rsidR="00D767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внешнеэкономических связей Ямало-Ненецкого автономного округа состоялся визит представителей города Салехарда в г. Рованиеми (Финляндия), основной целью которого являлось обсуждение </w:t>
      </w:r>
      <w:r w:rsidR="00D767CC">
        <w:rPr>
          <w:rFonts w:ascii="Times New Roman" w:hAnsi="Times New Roman" w:cs="Times New Roman"/>
          <w:sz w:val="28"/>
          <w:szCs w:val="28"/>
        </w:rPr>
        <w:t>совместного плана мероприятий побратимства с финской стороной. Ожидается, что активная фаза реализации намеченных инициатив начнётся в 2018 году.</w:t>
      </w:r>
    </w:p>
    <w:p w:rsidR="00D767CC" w:rsidRDefault="00D767CC" w:rsidP="0061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2017 году получило своё дальнейшее развитие сотрудничество между дошкольными образовательными учреждениями городов Салехард </w:t>
      </w:r>
      <w:r>
        <w:rPr>
          <w:rFonts w:ascii="Times New Roman" w:hAnsi="Times New Roman" w:cs="Times New Roman"/>
          <w:sz w:val="28"/>
          <w:szCs w:val="28"/>
        </w:rPr>
        <w:br/>
        <w:t xml:space="preserve">и Дюссельдорф (Германия): в октябре состоялась краткосрочная стажировка воспитателей билингвального детского сада «Ёлочка»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интеграционного центра «Признание. Доверие. Перспектива» на базе дошкольных образовательных учреждений окружной столицы.</w:t>
      </w:r>
    </w:p>
    <w:p w:rsidR="005E34E3" w:rsidRDefault="00792348" w:rsidP="0061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 а</w:t>
      </w:r>
      <w:r w:rsidR="00D53202">
        <w:rPr>
          <w:rFonts w:ascii="Times New Roman" w:hAnsi="Times New Roman" w:cs="Times New Roman"/>
          <w:sz w:val="28"/>
          <w:szCs w:val="28"/>
        </w:rPr>
        <w:t xml:space="preserve">ктивизации самостоятельности муниципальных образований способствует </w:t>
      </w:r>
      <w:r w:rsidR="005E34E3">
        <w:rPr>
          <w:rFonts w:ascii="Times New Roman" w:hAnsi="Times New Roman" w:cs="Times New Roman"/>
          <w:sz w:val="28"/>
          <w:szCs w:val="28"/>
        </w:rPr>
        <w:t xml:space="preserve">возможность участия в различных международных конкурсах, проводимых в заочной форме с использованием сети Интернет. Ярким подтверждением данного факта в 2017 году стал Красноселькупский район, жители которого </w:t>
      </w:r>
      <w:r w:rsidR="00B24467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150C90">
        <w:rPr>
          <w:rFonts w:ascii="Times New Roman" w:hAnsi="Times New Roman" w:cs="Times New Roman"/>
          <w:sz w:val="28"/>
          <w:szCs w:val="28"/>
        </w:rPr>
        <w:t xml:space="preserve">представили свои работы в 15 </w:t>
      </w:r>
      <w:r w:rsidR="00B24467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150C90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B24467">
        <w:rPr>
          <w:rFonts w:ascii="Times New Roman" w:hAnsi="Times New Roman" w:cs="Times New Roman"/>
          <w:sz w:val="28"/>
          <w:szCs w:val="28"/>
        </w:rPr>
        <w:t>детского творчества.</w:t>
      </w:r>
    </w:p>
    <w:p w:rsidR="00967E1D" w:rsidRDefault="00B24467" w:rsidP="00B2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достижениях в сфере культуры, следует отметить,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представители Ямало-Ненецкого автономного округа в 2017 году традиционно подтвердили высокий профессионализм в воспитании подрастающего поколения: юные таланты из городов Муравленко и Нового Уренгоя были приглашены и успешно выступили на фестивале русской музыки «Большой» в г. Дрвенград (Сербия) 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4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Международном фортепианном конкурсе «Лазурный берег Ниццы» в г. Ницца (Франция), экспертами и членами жюри которых являлись деятели культуры, имеющие мировое признание.</w:t>
      </w:r>
    </w:p>
    <w:p w:rsidR="00792348" w:rsidRPr="00792348" w:rsidRDefault="00792348" w:rsidP="00B2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при поддержке окружного департамента международных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внешнеэкономических связей представитель Ямало-Ненецкого автономного округа – скульптор Кирилл Никифоров из г. Ноябрьска – стал участником Чемпионата мира по ледовому искусству </w:t>
      </w:r>
      <w:r>
        <w:rPr>
          <w:rFonts w:ascii="Times New Roman" w:hAnsi="Times New Roman" w:cs="Times New Roman"/>
          <w:sz w:val="28"/>
          <w:szCs w:val="28"/>
          <w:lang w:val="en-US"/>
        </w:rPr>
        <w:t>BPWIAC</w:t>
      </w:r>
      <w:r w:rsidRPr="00792348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, который состоялся </w:t>
      </w:r>
      <w:r>
        <w:rPr>
          <w:rFonts w:ascii="Times New Roman" w:hAnsi="Times New Roman" w:cs="Times New Roman"/>
          <w:sz w:val="28"/>
          <w:szCs w:val="28"/>
        </w:rPr>
        <w:br/>
        <w:t>в г. Фэйрбэнкс (США) в марте 2017 года.</w:t>
      </w:r>
    </w:p>
    <w:p w:rsidR="00A60CA2" w:rsidRDefault="00A60CA2" w:rsidP="00A60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сфере образования высокий результат был продемонстрирован учащимися Гимназии г. Новый Уренгой, которые получили гран-при на Третьей международной научно-практической конференции, состоявшейся на базе Высшей школы Таканавадай (Япония).</w:t>
      </w:r>
    </w:p>
    <w:p w:rsidR="00466E17" w:rsidRDefault="00466E17" w:rsidP="00466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Благодаря использованию сети Интернет</w:t>
      </w:r>
      <w:r w:rsidR="00430A81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активно осуществляется двустороннее сотрудничество образовательных учреждений муниципальных образований с зарубежными коллегами. Лидером данного направления выступает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Надымский район. Среди самых активных проектов заочного межшкольного обмена следует выделить взаимодействие муниципального образовательного учреждения «Средняя общеобразовательная школа № 5 г. Надыма» 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  <w:t xml:space="preserve">с государственным учреждением образования «Гимназия № 3 г. Борисова» (Минская область, Республика Беларусь) и муниципального образовательного учреждения «Школа-интернат среднего общего образования» с. Ныда 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  <w:t>с Бескольской средней школой-гимназией (Кызылжарский район, Северо-Казахстанская область, Казахстан).</w:t>
      </w:r>
    </w:p>
    <w:p w:rsidR="00466E17" w:rsidRDefault="00466E17" w:rsidP="00466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Ярким примером долгосрочного сотрудничества в области межшкольных обменов остаётся взаимодействие Гимназии г. Лабытнанги и лицея Бертран-де-Борн г. Перигё (Франция).</w:t>
      </w:r>
    </w:p>
    <w:p w:rsidR="00792348" w:rsidRDefault="00792348" w:rsidP="00A60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Одним из достижений 2017 года в сфере образования также является вхождение государственного бюджетного профессионального образовательного учреждения региона «Ноябрьский колледж профессиональных 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  <w:t xml:space="preserve">и информационных технологий» в международную ассоциацию специалистов 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  <w:t>по сертификации.</w:t>
      </w:r>
    </w:p>
    <w:p w:rsidR="00B24467" w:rsidRDefault="00792348" w:rsidP="00B2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анализ развития международных связей в социальной сфере, следует отметить факт получения международного сертификата контроля качества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EQAS</w:t>
      </w:r>
      <w:r w:rsidRPr="00792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биохимическим исследованиям новоуренгойской лабораторией, которая внесена в список лучших лабораторий мира.</w:t>
      </w:r>
    </w:p>
    <w:p w:rsidR="00610871" w:rsidRDefault="00C92063" w:rsidP="00610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Большую долю международных мероприятий в социальной сфере, 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  <w:t xml:space="preserve">в которых принимают участие представители муниципальных образований 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  <w:t>в Ямало-Ненецком автономном округе, на протяжении ряда лет составляют мероприятия в области физической культуры и спорта. Традиционными лидерами в данном направлении выступают такие виды спорта как шахматы, скалолазание, плавание и различные виды боевых искусств, в которых ямальские спортсмены добиваются высоких результатов.</w:t>
      </w:r>
    </w:p>
    <w:p w:rsidR="00466E17" w:rsidRDefault="00466E17" w:rsidP="00610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Благодаря открытому доступу к заявочным кампаниям по формированию делегаций на участие в различных международных молодёжных мероприятиях 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  <w:t xml:space="preserve">и активной позиции жителей Ямало-Ненецкого автономного округа, представители арктического субъекта России ежегодно становятся участниками таких инициатив. В ноябре 2017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Елена Кригер, начальник отдел молодёжной политики и туризма Управления физической культуры, спорта, молодёжной политики и туризма Администрации города Лабытнанги, приняла участие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E5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Российско-Армянском молодёжном форуме.</w:t>
      </w:r>
    </w:p>
    <w:p w:rsidR="00466E17" w:rsidRDefault="008A297C" w:rsidP="00610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активно в 2017 году представители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Ямало-Ненецком автономном округе принимали участие в международных инициативах по укреплению </w:t>
      </w:r>
      <w:r w:rsidR="00236956">
        <w:rPr>
          <w:rFonts w:ascii="Times New Roman" w:eastAsia="Times New Roman" w:hAnsi="Times New Roman" w:cs="Times New Roman"/>
          <w:sz w:val="28"/>
          <w:szCs w:val="28"/>
        </w:rPr>
        <w:t>официального имиджа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арктического региона </w:t>
      </w:r>
      <w:r w:rsidR="0023695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международной арене.</w:t>
      </w:r>
    </w:p>
    <w:p w:rsidR="008A297C" w:rsidRDefault="00236956" w:rsidP="00610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самых значимых мероприятий следует отметить визиты официальных делегаций Ямало-Ненецкого автономного округа в гг. Берлин (Германия) и Рейкьявик (Исландия), в ходе которых были подписаны двусторонние международные протоколы о намерениях сотрудничества с рядом муниципальных образований арктического региона.</w:t>
      </w:r>
    </w:p>
    <w:p w:rsidR="0004760D" w:rsidRDefault="0004760D" w:rsidP="00610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большим успехом прошли Дни Ямала в г. Дюссельдорфе, </w:t>
      </w:r>
      <w:r w:rsidRPr="0004760D">
        <w:rPr>
          <w:rFonts w:ascii="Times New Roman" w:hAnsi="Times New Roman" w:cs="Times New Roman"/>
          <w:color w:val="000000"/>
          <w:sz w:val="28"/>
          <w:szCs w:val="28"/>
        </w:rPr>
        <w:t>включа</w:t>
      </w:r>
      <w:r w:rsidR="00251BBF">
        <w:rPr>
          <w:rFonts w:ascii="Times New Roman" w:hAnsi="Times New Roman" w:cs="Times New Roman"/>
          <w:color w:val="000000"/>
          <w:sz w:val="28"/>
          <w:szCs w:val="28"/>
        </w:rPr>
        <w:t>вш</w:t>
      </w:r>
      <w:r w:rsidRPr="0004760D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Pr="0004760D">
        <w:rPr>
          <w:rFonts w:ascii="Times New Roman" w:hAnsi="Times New Roman" w:cs="Times New Roman"/>
          <w:sz w:val="28"/>
          <w:szCs w:val="28"/>
        </w:rPr>
        <w:t>рабочие встречи по существующим и перспективным направлениям совместной деятельности</w:t>
      </w:r>
      <w:r w:rsidRPr="0004760D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презентацию </w:t>
      </w:r>
      <w:r w:rsidRPr="0004760D">
        <w:rPr>
          <w:rFonts w:ascii="Times New Roman" w:hAnsi="Times New Roman" w:cs="Times New Roman"/>
          <w:sz w:val="28"/>
          <w:szCs w:val="28"/>
        </w:rPr>
        <w:t>Ямало-Ненецкого автономного округа для широкого круга жителей и гостей города</w:t>
      </w:r>
      <w:r w:rsidRPr="000476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1BBF">
        <w:rPr>
          <w:rFonts w:ascii="Times New Roman" w:hAnsi="Times New Roman" w:cs="Times New Roman"/>
          <w:color w:val="000000"/>
          <w:sz w:val="28"/>
          <w:szCs w:val="28"/>
        </w:rPr>
        <w:t xml:space="preserve"> Ярким событием данного мероприятия стал концерт заслуженного ансамбля танца России «Северное сияние» </w:t>
      </w:r>
      <w:r w:rsidR="00251BBF">
        <w:rPr>
          <w:rFonts w:ascii="Times New Roman" w:hAnsi="Times New Roman" w:cs="Times New Roman"/>
          <w:color w:val="000000"/>
          <w:sz w:val="28"/>
          <w:szCs w:val="28"/>
        </w:rPr>
        <w:br/>
        <w:t>из г. Губкинский.</w:t>
      </w:r>
    </w:p>
    <w:p w:rsidR="004A551E" w:rsidRDefault="00833223" w:rsidP="00833223">
      <w:pPr>
        <w:pStyle w:val="a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ноябре 2017 года в г. Петропавловске (Северо-Казахстанская область, Казахстан) </w:t>
      </w:r>
      <w:r w:rsidRPr="009F6365">
        <w:rPr>
          <w:sz w:val="28"/>
          <w:szCs w:val="28"/>
        </w:rPr>
        <w:t>состоялась</w:t>
      </w:r>
      <w:r>
        <w:rPr>
          <w:sz w:val="28"/>
          <w:szCs w:val="28"/>
        </w:rPr>
        <w:t xml:space="preserve"> </w:t>
      </w:r>
      <w:r w:rsidRPr="009F6365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Яма</w:t>
      </w:r>
      <w:r w:rsidR="004A551E">
        <w:rPr>
          <w:sz w:val="28"/>
          <w:szCs w:val="28"/>
        </w:rPr>
        <w:t>ло-Ненецкого автономного округа, в которой</w:t>
      </w:r>
      <w:r>
        <w:rPr>
          <w:sz w:val="28"/>
          <w:szCs w:val="28"/>
        </w:rPr>
        <w:t xml:space="preserve"> </w:t>
      </w:r>
      <w:r w:rsidR="004A551E">
        <w:rPr>
          <w:sz w:val="28"/>
          <w:szCs w:val="28"/>
        </w:rPr>
        <w:t>приняли участие</w:t>
      </w:r>
      <w:r>
        <w:rPr>
          <w:sz w:val="28"/>
          <w:szCs w:val="28"/>
        </w:rPr>
        <w:t xml:space="preserve"> </w:t>
      </w:r>
      <w:r w:rsidRPr="0069759F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Акимата, </w:t>
      </w:r>
      <w:r w:rsidRPr="0069759F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интеллигенции и общественных организаций Северо-Казахстанской области, </w:t>
      </w:r>
      <w:r w:rsidRPr="0069759F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</w:t>
      </w:r>
      <w:r w:rsidRPr="0069759F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69759F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97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9759F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69759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Петропавловска</w:t>
      </w:r>
      <w:r w:rsidRPr="0069759F">
        <w:rPr>
          <w:sz w:val="28"/>
          <w:szCs w:val="28"/>
        </w:rPr>
        <w:t>, учащаяся</w:t>
      </w:r>
      <w:r>
        <w:rPr>
          <w:sz w:val="28"/>
          <w:szCs w:val="28"/>
        </w:rPr>
        <w:t xml:space="preserve"> </w:t>
      </w:r>
      <w:r w:rsidRPr="0069759F">
        <w:rPr>
          <w:sz w:val="28"/>
          <w:szCs w:val="28"/>
        </w:rPr>
        <w:t>молодёжь, представители</w:t>
      </w:r>
      <w:r>
        <w:rPr>
          <w:sz w:val="28"/>
          <w:szCs w:val="28"/>
        </w:rPr>
        <w:t xml:space="preserve"> </w:t>
      </w:r>
      <w:r w:rsidRPr="0069759F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69759F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69759F">
        <w:rPr>
          <w:sz w:val="28"/>
          <w:szCs w:val="28"/>
        </w:rPr>
        <w:t>Казахстан.</w:t>
      </w:r>
    </w:p>
    <w:p w:rsidR="00833223" w:rsidRDefault="00833223" w:rsidP="00833223">
      <w:pPr>
        <w:pStyle w:val="a5"/>
        <w:ind w:firstLine="709"/>
        <w:jc w:val="both"/>
        <w:textAlignment w:val="baseline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4A551E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4A551E">
        <w:rPr>
          <w:sz w:val="28"/>
          <w:szCs w:val="28"/>
        </w:rPr>
        <w:t xml:space="preserve">было </w:t>
      </w:r>
      <w:r>
        <w:rPr>
          <w:sz w:val="28"/>
          <w:szCs w:val="28"/>
        </w:rPr>
        <w:t>организовано выступление представителей Приуральского района Ямало-Ненецкого автономного округа</w:t>
      </w:r>
      <w:r w:rsidRPr="00AD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Ирины Юн </w:t>
      </w:r>
      <w:r w:rsidR="004A551E">
        <w:rPr>
          <w:sz w:val="28"/>
          <w:szCs w:val="28"/>
        </w:rPr>
        <w:br/>
      </w:r>
      <w:r>
        <w:rPr>
          <w:sz w:val="28"/>
          <w:szCs w:val="28"/>
        </w:rPr>
        <w:t xml:space="preserve">и Константина Ямзина, которые </w:t>
      </w:r>
      <w:r w:rsidRPr="00AD3FE9">
        <w:rPr>
          <w:color w:val="000000"/>
          <w:spacing w:val="3"/>
          <w:sz w:val="28"/>
          <w:szCs w:val="28"/>
        </w:rPr>
        <w:t>рассказали</w:t>
      </w:r>
      <w:r>
        <w:rPr>
          <w:color w:val="000000"/>
          <w:spacing w:val="3"/>
          <w:sz w:val="28"/>
          <w:szCs w:val="28"/>
        </w:rPr>
        <w:t xml:space="preserve"> </w:t>
      </w:r>
      <w:r w:rsidRPr="00AD3FE9"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 </w:t>
      </w:r>
      <w:r w:rsidRPr="00AD3FE9">
        <w:rPr>
          <w:color w:val="000000"/>
          <w:spacing w:val="3"/>
          <w:sz w:val="28"/>
          <w:szCs w:val="28"/>
        </w:rPr>
        <w:t>национальных</w:t>
      </w:r>
      <w:r>
        <w:rPr>
          <w:color w:val="000000"/>
          <w:spacing w:val="3"/>
          <w:sz w:val="28"/>
          <w:szCs w:val="28"/>
        </w:rPr>
        <w:t xml:space="preserve"> </w:t>
      </w:r>
      <w:r w:rsidRPr="00AD3FE9">
        <w:rPr>
          <w:color w:val="000000"/>
          <w:spacing w:val="3"/>
          <w:sz w:val="28"/>
          <w:szCs w:val="28"/>
        </w:rPr>
        <w:t>обрядах</w:t>
      </w:r>
      <w:r>
        <w:rPr>
          <w:color w:val="000000"/>
          <w:spacing w:val="3"/>
          <w:sz w:val="28"/>
          <w:szCs w:val="28"/>
        </w:rPr>
        <w:t xml:space="preserve"> </w:t>
      </w:r>
      <w:r w:rsidRPr="00AD3FE9"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 w:rsidRPr="00AD3FE9">
        <w:rPr>
          <w:color w:val="000000"/>
          <w:spacing w:val="3"/>
          <w:sz w:val="28"/>
          <w:szCs w:val="28"/>
        </w:rPr>
        <w:t>быте</w:t>
      </w:r>
      <w:r>
        <w:rPr>
          <w:color w:val="000000"/>
          <w:spacing w:val="3"/>
          <w:sz w:val="28"/>
          <w:szCs w:val="28"/>
        </w:rPr>
        <w:t xml:space="preserve"> </w:t>
      </w:r>
      <w:r w:rsidRPr="00AD3FE9">
        <w:rPr>
          <w:color w:val="000000"/>
          <w:spacing w:val="3"/>
          <w:sz w:val="28"/>
          <w:szCs w:val="28"/>
        </w:rPr>
        <w:t>ненцев, исполнили</w:t>
      </w:r>
      <w:r>
        <w:rPr>
          <w:color w:val="000000"/>
          <w:spacing w:val="3"/>
          <w:sz w:val="28"/>
          <w:szCs w:val="28"/>
        </w:rPr>
        <w:t xml:space="preserve"> </w:t>
      </w:r>
      <w:r w:rsidRPr="00AD3FE9">
        <w:rPr>
          <w:color w:val="000000"/>
          <w:spacing w:val="3"/>
          <w:sz w:val="28"/>
          <w:szCs w:val="28"/>
        </w:rPr>
        <w:t>песни</w:t>
      </w:r>
      <w:r>
        <w:rPr>
          <w:color w:val="000000"/>
          <w:spacing w:val="3"/>
          <w:sz w:val="28"/>
          <w:szCs w:val="28"/>
        </w:rPr>
        <w:t xml:space="preserve"> на языке </w:t>
      </w:r>
      <w:r w:rsidRPr="00AD3FE9">
        <w:rPr>
          <w:color w:val="000000"/>
          <w:spacing w:val="3"/>
          <w:sz w:val="28"/>
          <w:szCs w:val="28"/>
        </w:rPr>
        <w:t>коренных</w:t>
      </w:r>
      <w:r>
        <w:rPr>
          <w:color w:val="000000"/>
          <w:spacing w:val="3"/>
          <w:sz w:val="28"/>
          <w:szCs w:val="28"/>
        </w:rPr>
        <w:t xml:space="preserve"> </w:t>
      </w:r>
      <w:r w:rsidRPr="00AD3FE9">
        <w:rPr>
          <w:color w:val="000000"/>
          <w:spacing w:val="3"/>
          <w:sz w:val="28"/>
          <w:szCs w:val="28"/>
        </w:rPr>
        <w:t>народов</w:t>
      </w:r>
      <w:r>
        <w:rPr>
          <w:color w:val="000000"/>
          <w:spacing w:val="3"/>
          <w:sz w:val="28"/>
          <w:szCs w:val="28"/>
        </w:rPr>
        <w:t xml:space="preserve"> </w:t>
      </w:r>
      <w:r w:rsidRPr="00AD3FE9">
        <w:rPr>
          <w:color w:val="000000"/>
          <w:spacing w:val="3"/>
          <w:sz w:val="28"/>
          <w:szCs w:val="28"/>
        </w:rPr>
        <w:t>Ямала.</w:t>
      </w:r>
    </w:p>
    <w:p w:rsidR="004A551E" w:rsidRDefault="004A551E" w:rsidP="004A551E">
      <w:pPr>
        <w:pStyle w:val="a7"/>
        <w:spacing w:line="240" w:lineRule="auto"/>
        <w:ind w:left="0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В рамках деловой части презентации состоялись рабочие встречи </w:t>
      </w:r>
      <w:r>
        <w:rPr>
          <w:color w:val="000000"/>
          <w:spacing w:val="3"/>
        </w:rPr>
        <w:br/>
        <w:t>с представителями Акимата Северо-Казахстанской области, областной Ассамблеи народов Казахстана, учреждений культуры и образования по вопросам дальнейшего сотрудничества</w:t>
      </w:r>
      <w:r>
        <w:t>.</w:t>
      </w:r>
    </w:p>
    <w:p w:rsidR="00251BBF" w:rsidRDefault="00251BBF" w:rsidP="0025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Представительной была делегация Ямало-Ненецкого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51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Всемирном конгрессе оленеводов, состоявшемся в г. Йоккмокк (Швеция), </w:t>
      </w:r>
      <w:r>
        <w:rPr>
          <w:rFonts w:ascii="Times New Roman" w:hAnsi="Times New Roman" w:cs="Times New Roman"/>
          <w:sz w:val="28"/>
          <w:szCs w:val="28"/>
        </w:rPr>
        <w:br/>
        <w:t xml:space="preserve">в которую вошли </w:t>
      </w:r>
      <w:r w:rsidRPr="00251BBF">
        <w:rPr>
          <w:rFonts w:ascii="Times New Roman" w:hAnsi="Times New Roman" w:cs="Times New Roman"/>
          <w:sz w:val="28"/>
        </w:rPr>
        <w:t xml:space="preserve">представитель Губернатора </w:t>
      </w:r>
      <w:r w:rsidRPr="00251BBF">
        <w:rPr>
          <w:rFonts w:ascii="Times New Roman" w:hAnsi="Times New Roman" w:cs="Times New Roman"/>
          <w:sz w:val="28"/>
          <w:szCs w:val="24"/>
        </w:rPr>
        <w:t>Ямало-Ненецкого автономного округа в Тазовском районе, председатель Союза оленеводов Ямало-Ненецкого автономного округа Леонид Худи,</w:t>
      </w:r>
      <w:r w:rsidRPr="00251BBF">
        <w:rPr>
          <w:rFonts w:ascii="Times New Roman" w:hAnsi="Times New Roman" w:cs="Times New Roman"/>
          <w:sz w:val="28"/>
        </w:rPr>
        <w:t xml:space="preserve"> заместитель Председателя Законодательного собрания </w:t>
      </w:r>
      <w:r w:rsidRPr="00251BBF">
        <w:rPr>
          <w:rFonts w:ascii="Times New Roman" w:hAnsi="Times New Roman" w:cs="Times New Roman"/>
          <w:sz w:val="28"/>
          <w:szCs w:val="24"/>
        </w:rPr>
        <w:t>Ямало-Ненецкого автономного округа Сергей Харючи</w:t>
      </w:r>
      <w:r w:rsidRPr="00251BBF">
        <w:rPr>
          <w:rFonts w:ascii="Times New Roman" w:hAnsi="Times New Roman" w:cs="Times New Roman"/>
          <w:sz w:val="28"/>
        </w:rPr>
        <w:t>, делегаты-оленеводы из муниципалитетов Приуральский, Ямальский, Надымский, Тазовский, Пуровский и Красноселькупский районы</w:t>
      </w:r>
      <w:r>
        <w:rPr>
          <w:rFonts w:ascii="Times New Roman" w:hAnsi="Times New Roman" w:cs="Times New Roman"/>
          <w:sz w:val="28"/>
        </w:rPr>
        <w:t>.</w:t>
      </w:r>
    </w:p>
    <w:p w:rsidR="00251BBF" w:rsidRPr="00251BBF" w:rsidRDefault="00251BBF" w:rsidP="0025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1BBF">
        <w:rPr>
          <w:rFonts w:ascii="Times New Roman" w:hAnsi="Times New Roman" w:cs="Times New Roman"/>
          <w:sz w:val="28"/>
          <w:szCs w:val="24"/>
        </w:rPr>
        <w:t xml:space="preserve">В день закрытия участниками Конгресса была принята Йоккмоккская декларация. Также состоялись выборы Президиума Совета Ассоциации «Оленеводы мира» и членов Совета. Президентом Ассоциации был избран Харючи Сергей Николаевич, заместитель Председателя Законодательного Собрания Ямало-Ненецкого автономного округа. В состав Совета вошли Степан Вануйто из Тазовского района и Алексей Сэротэтто из Ямальского района. </w:t>
      </w:r>
      <w:r w:rsidR="00FB022A">
        <w:rPr>
          <w:rFonts w:ascii="Times New Roman" w:hAnsi="Times New Roman" w:cs="Times New Roman"/>
          <w:sz w:val="28"/>
          <w:szCs w:val="24"/>
        </w:rPr>
        <w:br/>
      </w:r>
      <w:r w:rsidRPr="00251BBF">
        <w:rPr>
          <w:rFonts w:ascii="Times New Roman" w:hAnsi="Times New Roman" w:cs="Times New Roman"/>
          <w:sz w:val="28"/>
          <w:szCs w:val="24"/>
        </w:rPr>
        <w:t>В состав Правления Ассоциации «О</w:t>
      </w:r>
      <w:r w:rsidR="00FB022A">
        <w:rPr>
          <w:rFonts w:ascii="Times New Roman" w:hAnsi="Times New Roman" w:cs="Times New Roman"/>
          <w:sz w:val="28"/>
          <w:szCs w:val="24"/>
        </w:rPr>
        <w:t>леневоды мира» вошел Михаил Яр.</w:t>
      </w:r>
    </w:p>
    <w:p w:rsidR="00251BBF" w:rsidRDefault="00236956" w:rsidP="0072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Больших результатов удалось достичь благодаря совместной работе исполнительных органов государственной власти Ямало-Ненецкого автономного округа с муниципальными предприятиями по линии развития агропромышленного комплекса региона. В том числе, </w:t>
      </w:r>
      <w:r w:rsidR="007218CF">
        <w:rPr>
          <w:rFonts w:ascii="Times New Roman" w:eastAsia="Times New Roman" w:hAnsi="Times New Roman" w:cs="Times New Roman"/>
          <w:bCs/>
          <w:sz w:val="28"/>
          <w:szCs w:val="28"/>
        </w:rPr>
        <w:t>мясоперерабатывающему комплексу «Паюта» был присвоен еврономер, позволяющий осуществлять поставку продукции предприятия на европейский рынок.</w:t>
      </w:r>
    </w:p>
    <w:p w:rsidR="007218CF" w:rsidRPr="005E5A39" w:rsidRDefault="00236956" w:rsidP="00721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участия региона в 7-й Международной бизнес-встрече импортёров продуктов питания и проведения переговоров с представителями продовольственной компании «ВОЧИ» (Китай) </w:t>
      </w:r>
      <w:r w:rsidRPr="002369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был подписан протокол </w:t>
      </w:r>
      <w:r w:rsidR="0083322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369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намерениях сотрудничества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2369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6956">
        <w:rPr>
          <w:rFonts w:ascii="Times New Roman" w:hAnsi="Times New Roman" w:cs="Times New Roman"/>
          <w:sz w:val="28"/>
          <w:szCs w:val="28"/>
        </w:rPr>
        <w:t xml:space="preserve">ООО «НП Ныда-Ресурс» </w:t>
      </w:r>
      <w:r w:rsidRPr="002369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совместной </w:t>
      </w:r>
      <w:r w:rsidRPr="0023695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переработке на территории Ямало-Ненецкого автономного округа и последующей реализации на китайском рынке продукции из мяса северного оленя, рыбы </w:t>
      </w:r>
      <w:r w:rsidR="0083322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36956">
        <w:rPr>
          <w:rFonts w:ascii="Times New Roman" w:hAnsi="Times New Roman" w:cs="Times New Roman"/>
          <w:bCs/>
          <w:color w:val="000000"/>
          <w:sz w:val="28"/>
          <w:szCs w:val="28"/>
        </w:rPr>
        <w:t>и дикоросов. Со своей стороны китайские партнёры выразили заинтересованность в открытии хлебопекарни и кулинарии с использованием российских технологий в г. Шияне.</w:t>
      </w:r>
    </w:p>
    <w:p w:rsidR="009743C2" w:rsidRDefault="009743C2" w:rsidP="00974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вышеизложенного, следует отметить стабильность сохранения уровня вовлечённости в сферу международных отношений муниципальных образований в Ямало-Ненецком автономном округе. Большую самостоятельность в данном отношении проявляют крупные муниципальные образования – города Новый Уренгой, Салехард и Ноябрьск.</w:t>
      </w:r>
      <w:r w:rsidRPr="006255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 взаимодействии с постоянными зарубежными партнёрами реализуемые проекты становятся не единичными инициативами, а имеют </w:t>
      </w:r>
      <w:r w:rsidR="00430A81">
        <w:rPr>
          <w:rFonts w:ascii="Times New Roman" w:hAnsi="Times New Roman" w:cs="Times New Roman"/>
          <w:sz w:val="28"/>
        </w:rPr>
        <w:t>целенаправленный</w:t>
      </w:r>
      <w:r>
        <w:rPr>
          <w:rFonts w:ascii="Times New Roman" w:hAnsi="Times New Roman" w:cs="Times New Roman"/>
          <w:sz w:val="28"/>
        </w:rPr>
        <w:t xml:space="preserve"> вектор долгосрочного развития </w:t>
      </w:r>
      <w:r>
        <w:rPr>
          <w:rFonts w:ascii="Times New Roman" w:hAnsi="Times New Roman" w:cs="Times New Roman"/>
          <w:sz w:val="28"/>
        </w:rPr>
        <w:br/>
        <w:t>и повышения результативности сотрудничества.</w:t>
      </w:r>
    </w:p>
    <w:p w:rsidR="009743C2" w:rsidRDefault="009743C2" w:rsidP="00974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Заинтересованность в расширении своих контактов и использовании предоставляемых возможностей проявляют и отдельные учреждения, организации и жители Ямало-Ненецкого автономного округа, среди которых наиболее активной является молодёжь.</w:t>
      </w:r>
    </w:p>
    <w:p w:rsidR="009743C2" w:rsidRDefault="009743C2" w:rsidP="00974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Возрастает потребность в проведении научных исследований на территории региона со стороны международного научного сообщества. Определённая стабильность наблюдается также в интересе к Ямало-Ненецкому автономному округу как к территории экстремального и этнографического туризма.</w:t>
      </w:r>
    </w:p>
    <w:sectPr w:rsidR="009743C2" w:rsidSect="00541265">
      <w:headerReference w:type="defaul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40" w:rsidRDefault="00750B40" w:rsidP="00541265">
      <w:pPr>
        <w:spacing w:after="0" w:line="240" w:lineRule="auto"/>
      </w:pPr>
      <w:r>
        <w:separator/>
      </w:r>
    </w:p>
  </w:endnote>
  <w:endnote w:type="continuationSeparator" w:id="0">
    <w:p w:rsidR="00750B40" w:rsidRDefault="00750B40" w:rsidP="0054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40" w:rsidRDefault="00750B40" w:rsidP="00541265">
      <w:pPr>
        <w:spacing w:after="0" w:line="240" w:lineRule="auto"/>
      </w:pPr>
      <w:r>
        <w:separator/>
      </w:r>
    </w:p>
  </w:footnote>
  <w:footnote w:type="continuationSeparator" w:id="0">
    <w:p w:rsidR="00750B40" w:rsidRDefault="00750B40" w:rsidP="0054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45981"/>
    </w:sdtPr>
    <w:sdtEndPr>
      <w:rPr>
        <w:rFonts w:ascii="Times New Roman" w:hAnsi="Times New Roman" w:cs="Times New Roman"/>
        <w:sz w:val="24"/>
      </w:rPr>
    </w:sdtEndPr>
    <w:sdtContent>
      <w:p w:rsidR="00541265" w:rsidRPr="00541265" w:rsidRDefault="00DB17DA" w:rsidP="00541265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541265">
          <w:rPr>
            <w:rFonts w:ascii="Times New Roman" w:hAnsi="Times New Roman" w:cs="Times New Roman"/>
            <w:sz w:val="24"/>
          </w:rPr>
          <w:fldChar w:fldCharType="begin"/>
        </w:r>
        <w:r w:rsidR="00541265" w:rsidRPr="0054126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41265">
          <w:rPr>
            <w:rFonts w:ascii="Times New Roman" w:hAnsi="Times New Roman" w:cs="Times New Roman"/>
            <w:sz w:val="24"/>
          </w:rPr>
          <w:fldChar w:fldCharType="separate"/>
        </w:r>
        <w:r w:rsidR="00E217D6">
          <w:rPr>
            <w:rFonts w:ascii="Times New Roman" w:hAnsi="Times New Roman" w:cs="Times New Roman"/>
            <w:noProof/>
            <w:sz w:val="24"/>
          </w:rPr>
          <w:t>2</w:t>
        </w:r>
        <w:r w:rsidRPr="0054126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A5"/>
    <w:rsid w:val="00024C8E"/>
    <w:rsid w:val="0004760D"/>
    <w:rsid w:val="00081F1E"/>
    <w:rsid w:val="00101702"/>
    <w:rsid w:val="00104E25"/>
    <w:rsid w:val="00150C90"/>
    <w:rsid w:val="001C7A8D"/>
    <w:rsid w:val="001F0F2C"/>
    <w:rsid w:val="00225E83"/>
    <w:rsid w:val="00236956"/>
    <w:rsid w:val="00240463"/>
    <w:rsid w:val="00251BBF"/>
    <w:rsid w:val="00286349"/>
    <w:rsid w:val="002C7E4A"/>
    <w:rsid w:val="002D31A1"/>
    <w:rsid w:val="00395BFA"/>
    <w:rsid w:val="003A3D78"/>
    <w:rsid w:val="00421024"/>
    <w:rsid w:val="00430A81"/>
    <w:rsid w:val="00433FA5"/>
    <w:rsid w:val="00466E17"/>
    <w:rsid w:val="004A551E"/>
    <w:rsid w:val="004B4EAD"/>
    <w:rsid w:val="004C47AD"/>
    <w:rsid w:val="00532481"/>
    <w:rsid w:val="00541265"/>
    <w:rsid w:val="005877B5"/>
    <w:rsid w:val="005E17D6"/>
    <w:rsid w:val="005E34E3"/>
    <w:rsid w:val="005F2567"/>
    <w:rsid w:val="00610871"/>
    <w:rsid w:val="00626C1E"/>
    <w:rsid w:val="00642032"/>
    <w:rsid w:val="00664153"/>
    <w:rsid w:val="0067639D"/>
    <w:rsid w:val="0071704B"/>
    <w:rsid w:val="007218CF"/>
    <w:rsid w:val="00750B40"/>
    <w:rsid w:val="00791DD2"/>
    <w:rsid w:val="00792348"/>
    <w:rsid w:val="007A3060"/>
    <w:rsid w:val="00833223"/>
    <w:rsid w:val="00842FDC"/>
    <w:rsid w:val="0084537E"/>
    <w:rsid w:val="0088566E"/>
    <w:rsid w:val="008A297C"/>
    <w:rsid w:val="008B1D0E"/>
    <w:rsid w:val="008C4BF2"/>
    <w:rsid w:val="0090333E"/>
    <w:rsid w:val="00903905"/>
    <w:rsid w:val="00906331"/>
    <w:rsid w:val="0093588E"/>
    <w:rsid w:val="009426F3"/>
    <w:rsid w:val="00942739"/>
    <w:rsid w:val="00967E1D"/>
    <w:rsid w:val="009743C2"/>
    <w:rsid w:val="009942FD"/>
    <w:rsid w:val="009E3A0F"/>
    <w:rsid w:val="00A60CA2"/>
    <w:rsid w:val="00AE360F"/>
    <w:rsid w:val="00AF1F97"/>
    <w:rsid w:val="00B05433"/>
    <w:rsid w:val="00B24467"/>
    <w:rsid w:val="00BC2DC5"/>
    <w:rsid w:val="00BF166B"/>
    <w:rsid w:val="00BF548C"/>
    <w:rsid w:val="00C538ED"/>
    <w:rsid w:val="00C92063"/>
    <w:rsid w:val="00D215DE"/>
    <w:rsid w:val="00D25D2B"/>
    <w:rsid w:val="00D53202"/>
    <w:rsid w:val="00D63958"/>
    <w:rsid w:val="00D767CC"/>
    <w:rsid w:val="00DB17DA"/>
    <w:rsid w:val="00E217D6"/>
    <w:rsid w:val="00E237B6"/>
    <w:rsid w:val="00E30970"/>
    <w:rsid w:val="00E355AA"/>
    <w:rsid w:val="00E765C5"/>
    <w:rsid w:val="00EC340A"/>
    <w:rsid w:val="00EC6EC8"/>
    <w:rsid w:val="00F10200"/>
    <w:rsid w:val="00FB022A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540BC-8A6B-4E82-AB79-3D170193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4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63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Знак Знак4,Знак Знак7,Обычный (Web)1,Обычный (веб)1,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"/>
    <w:link w:val="a6"/>
    <w:uiPriority w:val="99"/>
    <w:qFormat/>
    <w:rsid w:val="0083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Знак Знак4 Знак,Знак Знак7 Знак,Обычный (Web)1 Знак1,Обычный (веб)1 Знак,Обычный (веб) Знак1 Знак,Обычный (веб) Знак Знак Знак,Обычный (веб) Знак Знак Знак Знак Знак,Обычный (Web)1 Знак Знак"/>
    <w:basedOn w:val="a0"/>
    <w:link w:val="a5"/>
    <w:uiPriority w:val="99"/>
    <w:rsid w:val="0083322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A551E"/>
    <w:pPr>
      <w:spacing w:after="0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54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265"/>
  </w:style>
  <w:style w:type="paragraph" w:styleId="aa">
    <w:name w:val="footer"/>
    <w:basedOn w:val="a"/>
    <w:link w:val="ab"/>
    <w:uiPriority w:val="99"/>
    <w:semiHidden/>
    <w:unhideWhenUsed/>
    <w:rsid w:val="0054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71;&#1053;&#1040;&#1054;\&#1054;&#1058;&#1063;&#1025;&#1058;&#1067;%20&#1052;&#1054;\2017\&#1054;&#1058;&#1063;&#1025;&#1058;_2017\&#1044;&#1083;&#1103;%20&#1075;&#1088;&#1072;&#1092;&#1080;&#1082;&#1086;&#1074;_I%20&#1087;&#1086;&#1083;&#1091;&#1075;&#1086;&#1076;&#1080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71;&#1053;&#1040;&#1054;\&#1054;&#1058;&#1063;&#1025;&#1058;&#1067;%20&#1052;&#1054;\2017\&#1054;&#1058;&#1063;&#1025;&#1058;_2017\&#1044;&#1083;&#1103;%20&#1075;&#1088;&#1072;&#1092;&#1080;&#1082;&#1086;&#1074;_I%20&#1087;&#1086;&#1083;&#1091;&#1075;&#1086;&#1076;&#1080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71;&#1053;&#1040;&#1054;\&#1054;&#1058;&#1063;&#1025;&#1058;&#1067;%20&#1052;&#1054;\2017\&#1054;&#1058;&#1063;&#1025;&#1058;_2017\&#1044;&#1083;&#1103;%20&#1075;&#1088;&#1072;&#1092;&#1080;&#1082;&#1086;&#1074;_I%20&#1087;&#1086;&#1083;&#1091;&#1075;&#1086;&#1076;&#1080;&#107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71;&#1053;&#1040;&#1054;\&#1054;&#1058;&#1063;&#1025;&#1058;&#1067;%20&#1052;&#1054;\2017\&#1054;&#1058;&#1063;&#1025;&#1058;_2017\&#1044;&#1083;&#1103;%20&#1075;&#1088;&#1072;&#1092;&#1080;&#1082;&#1086;&#1074;_I%20&#1087;&#1086;&#1083;&#1091;&#1075;&#1086;&#1076;&#1080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5;&#1072;\3.%20&#1055;&#1051;&#1040;&#1053;&#1067;_&#1054;&#1058;&#1063;&#1025;&#1058;&#1067;\&#1071;&#1053;&#1040;&#1054;\&#1054;&#1058;&#1063;&#1025;&#1058;&#1067;%20&#1052;&#1054;\2017\&#1054;&#1058;&#1063;&#1025;&#1058;_2017\&#1044;&#1083;&#1103;%20&#1075;&#1088;&#1072;&#1092;&#1080;&#1082;&#1086;&#1074;_I%20&#1087;&#1086;&#1083;&#1091;&#1075;&#1086;&#1076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2017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Лист5!$A$1:$A$3</c:f>
              <c:strCache>
                <c:ptCount val="3"/>
                <c:pt idx="0">
                  <c:v>Общее количество мероприятий </c:v>
                </c:pt>
                <c:pt idx="1">
                  <c:v>Совместно с ИОГВ ЯНАО</c:v>
                </c:pt>
                <c:pt idx="2">
                  <c:v>Совместное участие МО</c:v>
                </c:pt>
              </c:strCache>
            </c:strRef>
          </c:cat>
          <c:val>
            <c:numRef>
              <c:f>Лист5!$B$1:$B$3</c:f>
              <c:numCache>
                <c:formatCode>General</c:formatCode>
                <c:ptCount val="3"/>
                <c:pt idx="0">
                  <c:v>154</c:v>
                </c:pt>
                <c:pt idx="1">
                  <c:v>34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v>2016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Лист5!$A$1:$A$3</c:f>
              <c:strCache>
                <c:ptCount val="3"/>
                <c:pt idx="0">
                  <c:v>Общее количество мероприятий </c:v>
                </c:pt>
                <c:pt idx="1">
                  <c:v>Совместно с ИОГВ ЯНАО</c:v>
                </c:pt>
                <c:pt idx="2">
                  <c:v>Совместное участие МО</c:v>
                </c:pt>
              </c:strCache>
            </c:strRef>
          </c:cat>
          <c:val>
            <c:numRef>
              <c:f>Лист5!$C$1:$C$3</c:f>
              <c:numCache>
                <c:formatCode>General</c:formatCode>
                <c:ptCount val="3"/>
                <c:pt idx="0">
                  <c:v>64</c:v>
                </c:pt>
                <c:pt idx="1">
                  <c:v>21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9496416"/>
        <c:axId val="409496976"/>
      </c:barChart>
      <c:catAx>
        <c:axId val="409496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09496976"/>
        <c:crosses val="autoZero"/>
        <c:auto val="1"/>
        <c:lblAlgn val="ctr"/>
        <c:lblOffset val="100"/>
        <c:noMultiLvlLbl val="0"/>
      </c:catAx>
      <c:valAx>
        <c:axId val="4094969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9496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7919001627393516"/>
                  <c:y val="0.1698675156940348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5297707848600237"/>
                  <c:y val="-0.2175414701653807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1670283186222422"/>
                  <c:y val="5.402404912642917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 i="1" baseline="0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МО_ГОД!$A$4:$A$6</c:f>
              <c:strCache>
                <c:ptCount val="3"/>
                <c:pt idx="0">
                  <c:v>На территории ЯНАО</c:v>
                </c:pt>
                <c:pt idx="1">
                  <c:v>На территории РФ</c:v>
                </c:pt>
                <c:pt idx="2">
                  <c:v>На территории зарубежных стран</c:v>
                </c:pt>
              </c:strCache>
            </c:strRef>
          </c:cat>
          <c:val>
            <c:numRef>
              <c:f>МО_ГОД!$B$4:$B$6</c:f>
              <c:numCache>
                <c:formatCode>General</c:formatCode>
                <c:ptCount val="3"/>
                <c:pt idx="0">
                  <c:v>45</c:v>
                </c:pt>
                <c:pt idx="1">
                  <c:v>36</c:v>
                </c:pt>
                <c:pt idx="2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'МО_ГОД_МО активность'!$A$1:$A$13</c:f>
              <c:strCache>
                <c:ptCount val="13"/>
                <c:pt idx="0">
                  <c:v>Салехард</c:v>
                </c:pt>
                <c:pt idx="1">
                  <c:v>Губкинский</c:v>
                </c:pt>
                <c:pt idx="2">
                  <c:v>Лабытнанги</c:v>
                </c:pt>
                <c:pt idx="3">
                  <c:v>Муравленко</c:v>
                </c:pt>
                <c:pt idx="4">
                  <c:v>Новый Уренгой</c:v>
                </c:pt>
                <c:pt idx="5">
                  <c:v>Ноябрьск</c:v>
                </c:pt>
                <c:pt idx="6">
                  <c:v>Красноселькупский район</c:v>
                </c:pt>
                <c:pt idx="7">
                  <c:v>Надымский район</c:v>
                </c:pt>
                <c:pt idx="8">
                  <c:v>Приуральский район</c:v>
                </c:pt>
                <c:pt idx="9">
                  <c:v>Пуровский район</c:v>
                </c:pt>
                <c:pt idx="10">
                  <c:v>Тазовский район</c:v>
                </c:pt>
                <c:pt idx="11">
                  <c:v>Шурышкарский район</c:v>
                </c:pt>
                <c:pt idx="12">
                  <c:v>Ямальский район</c:v>
                </c:pt>
              </c:strCache>
            </c:strRef>
          </c:cat>
          <c:val>
            <c:numRef>
              <c:f>'МО_ГОД_МО активность'!$B$1:$B$13</c:f>
              <c:numCache>
                <c:formatCode>General</c:formatCode>
                <c:ptCount val="13"/>
                <c:pt idx="0">
                  <c:v>25</c:v>
                </c:pt>
                <c:pt idx="1">
                  <c:v>9</c:v>
                </c:pt>
                <c:pt idx="2">
                  <c:v>14</c:v>
                </c:pt>
                <c:pt idx="3">
                  <c:v>8</c:v>
                </c:pt>
                <c:pt idx="4">
                  <c:v>50</c:v>
                </c:pt>
                <c:pt idx="5">
                  <c:v>17</c:v>
                </c:pt>
                <c:pt idx="6">
                  <c:v>20</c:v>
                </c:pt>
                <c:pt idx="7">
                  <c:v>12</c:v>
                </c:pt>
                <c:pt idx="8">
                  <c:v>15</c:v>
                </c:pt>
                <c:pt idx="9">
                  <c:v>17</c:v>
                </c:pt>
                <c:pt idx="10">
                  <c:v>7</c:v>
                </c:pt>
                <c:pt idx="11">
                  <c:v>2</c:v>
                </c:pt>
                <c:pt idx="1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90452976"/>
        <c:axId val="490453536"/>
      </c:barChart>
      <c:catAx>
        <c:axId val="490452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0453536"/>
        <c:crosses val="autoZero"/>
        <c:auto val="1"/>
        <c:lblAlgn val="ctr"/>
        <c:lblOffset val="100"/>
        <c:noMultiLvlLbl val="0"/>
      </c:catAx>
      <c:valAx>
        <c:axId val="49045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452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МО_ГОД_СТРАНЫ!$A$1:$A$41</c:f>
              <c:strCache>
                <c:ptCount val="41"/>
                <c:pt idx="0">
                  <c:v>Австрия</c:v>
                </c:pt>
                <c:pt idx="1">
                  <c:v>Албания</c:v>
                </c:pt>
                <c:pt idx="2">
                  <c:v>Аргентина</c:v>
                </c:pt>
                <c:pt idx="3">
                  <c:v>Армения</c:v>
                </c:pt>
                <c:pt idx="4">
                  <c:v>Беларусь</c:v>
                </c:pt>
                <c:pt idx="5">
                  <c:v>Болгария</c:v>
                </c:pt>
                <c:pt idx="6">
                  <c:v>Бразилия</c:v>
                </c:pt>
                <c:pt idx="7">
                  <c:v>Великобритания</c:v>
                </c:pt>
                <c:pt idx="8">
                  <c:v>Венгрия</c:v>
                </c:pt>
                <c:pt idx="9">
                  <c:v>Германия</c:v>
                </c:pt>
                <c:pt idx="10">
                  <c:v>Греция</c:v>
                </c:pt>
                <c:pt idx="11">
                  <c:v>Грузия</c:v>
                </c:pt>
                <c:pt idx="12">
                  <c:v>Дания</c:v>
                </c:pt>
                <c:pt idx="13">
                  <c:v>Египет</c:v>
                </c:pt>
                <c:pt idx="14">
                  <c:v>Иран</c:v>
                </c:pt>
                <c:pt idx="15">
                  <c:v>Ирландия</c:v>
                </c:pt>
                <c:pt idx="16">
                  <c:v>Исландия</c:v>
                </c:pt>
                <c:pt idx="17">
                  <c:v>Испания</c:v>
                </c:pt>
                <c:pt idx="18">
                  <c:v>Италия</c:v>
                </c:pt>
                <c:pt idx="19">
                  <c:v>Казахстан</c:v>
                </c:pt>
                <c:pt idx="20">
                  <c:v>Китай</c:v>
                </c:pt>
                <c:pt idx="21">
                  <c:v>Кыргызстан</c:v>
                </c:pt>
                <c:pt idx="22">
                  <c:v>Латвия</c:v>
                </c:pt>
                <c:pt idx="23">
                  <c:v>Мексика</c:v>
                </c:pt>
                <c:pt idx="24">
                  <c:v>Молдова</c:v>
                </c:pt>
                <c:pt idx="25">
                  <c:v>Монако</c:v>
                </c:pt>
                <c:pt idx="26">
                  <c:v>Нидерланды</c:v>
                </c:pt>
                <c:pt idx="27">
                  <c:v>Норвегия</c:v>
                </c:pt>
                <c:pt idx="28">
                  <c:v>Польша</c:v>
                </c:pt>
                <c:pt idx="29">
                  <c:v>Румыния</c:v>
                </c:pt>
                <c:pt idx="30">
                  <c:v>Сербия</c:v>
                </c:pt>
                <c:pt idx="31">
                  <c:v>Словакия</c:v>
                </c:pt>
                <c:pt idx="32">
                  <c:v>США</c:v>
                </c:pt>
                <c:pt idx="33">
                  <c:v>Таджикистан</c:v>
                </c:pt>
                <c:pt idx="34">
                  <c:v>Тайланд</c:v>
                </c:pt>
                <c:pt idx="35">
                  <c:v>Турция</c:v>
                </c:pt>
                <c:pt idx="36">
                  <c:v>Финляндия</c:v>
                </c:pt>
                <c:pt idx="37">
                  <c:v>Франция</c:v>
                </c:pt>
                <c:pt idx="38">
                  <c:v>Швейцария</c:v>
                </c:pt>
                <c:pt idx="39">
                  <c:v>Швеция</c:v>
                </c:pt>
                <c:pt idx="40">
                  <c:v>Южная Корея</c:v>
                </c:pt>
              </c:strCache>
            </c:strRef>
          </c:cat>
          <c:val>
            <c:numRef>
              <c:f>МО_ГОД_СТРАНЫ!$B$1:$B$41</c:f>
              <c:numCache>
                <c:formatCode>General</c:formatCode>
                <c:ptCount val="41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7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31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5</c:v>
                </c:pt>
                <c:pt idx="18">
                  <c:v>1</c:v>
                </c:pt>
                <c:pt idx="19">
                  <c:v>5</c:v>
                </c:pt>
                <c:pt idx="20">
                  <c:v>6</c:v>
                </c:pt>
                <c:pt idx="21">
                  <c:v>3</c:v>
                </c:pt>
                <c:pt idx="22">
                  <c:v>2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3</c:v>
                </c:pt>
                <c:pt idx="28">
                  <c:v>2</c:v>
                </c:pt>
                <c:pt idx="29">
                  <c:v>2</c:v>
                </c:pt>
                <c:pt idx="30">
                  <c:v>3</c:v>
                </c:pt>
                <c:pt idx="31">
                  <c:v>1</c:v>
                </c:pt>
                <c:pt idx="32">
                  <c:v>5</c:v>
                </c:pt>
                <c:pt idx="33">
                  <c:v>1</c:v>
                </c:pt>
                <c:pt idx="34">
                  <c:v>1</c:v>
                </c:pt>
                <c:pt idx="35">
                  <c:v>4</c:v>
                </c:pt>
                <c:pt idx="36">
                  <c:v>2</c:v>
                </c:pt>
                <c:pt idx="37">
                  <c:v>1</c:v>
                </c:pt>
                <c:pt idx="38">
                  <c:v>2</c:v>
                </c:pt>
                <c:pt idx="39">
                  <c:v>3</c:v>
                </c:pt>
                <c:pt idx="4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455776"/>
        <c:axId val="490168272"/>
      </c:barChart>
      <c:catAx>
        <c:axId val="4904557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90168272"/>
        <c:crosses val="autoZero"/>
        <c:auto val="1"/>
        <c:lblAlgn val="ctr"/>
        <c:lblOffset val="100"/>
        <c:noMultiLvlLbl val="0"/>
      </c:catAx>
      <c:valAx>
        <c:axId val="490168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90455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1211533340941376E-3"/>
                  <c:y val="-3.76338556057776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541405150443183E-2"/>
                  <c:y val="-4.84113015284854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230248392863993E-3"/>
                  <c:y val="-7.59800461047845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83236334588608E-2"/>
                  <c:y val="1.710689814888764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56620639811328E-3"/>
                  <c:y val="3.31769177939978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0086347902164528E-3"/>
                  <c:y val="5.979375296140746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4320362128646917E-2"/>
                  <c:y val="-3.805422902258921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7953897067214424E-3"/>
                  <c:y val="-1.70051055991226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7957320552322889E-3"/>
                  <c:y val="-2.314864800114995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2218037962645896E-2"/>
                  <c:y val="-3.560545803985459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МО_ГОД_СФЕРЫ!$A$1:$A$11</c:f>
              <c:strCache>
                <c:ptCount val="11"/>
                <c:pt idx="0">
                  <c:v>КМНС</c:v>
                </c:pt>
                <c:pt idx="1">
                  <c:v>культура</c:v>
                </c:pt>
                <c:pt idx="2">
                  <c:v>образование и наука</c:v>
                </c:pt>
                <c:pt idx="3">
                  <c:v>развитие побратимских связей</c:v>
                </c:pt>
                <c:pt idx="4">
                  <c:v>туризм</c:v>
                </c:pt>
                <c:pt idx="5">
                  <c:v>физическая культура и спорт</c:v>
                </c:pt>
                <c:pt idx="6">
                  <c:v>промышленное освоение</c:v>
                </c:pt>
                <c:pt idx="7">
                  <c:v>молодёжная политика</c:v>
                </c:pt>
                <c:pt idx="8">
                  <c:v>агпромышленный комплекс</c:v>
                </c:pt>
                <c:pt idx="9">
                  <c:v>здравоохранение</c:v>
                </c:pt>
                <c:pt idx="10">
                  <c:v>развитие международных деловых связей</c:v>
                </c:pt>
              </c:strCache>
            </c:strRef>
          </c:cat>
          <c:val>
            <c:numRef>
              <c:f>МО_ГОД_СФЕРЫ!$B$1:$B$11</c:f>
              <c:numCache>
                <c:formatCode>General</c:formatCode>
                <c:ptCount val="11"/>
                <c:pt idx="0">
                  <c:v>3</c:v>
                </c:pt>
                <c:pt idx="1">
                  <c:v>33</c:v>
                </c:pt>
                <c:pt idx="2">
                  <c:v>17</c:v>
                </c:pt>
                <c:pt idx="3">
                  <c:v>12</c:v>
                </c:pt>
                <c:pt idx="4">
                  <c:v>1</c:v>
                </c:pt>
                <c:pt idx="5">
                  <c:v>60</c:v>
                </c:pt>
                <c:pt idx="6">
                  <c:v>3</c:v>
                </c:pt>
                <c:pt idx="7">
                  <c:v>13</c:v>
                </c:pt>
                <c:pt idx="8">
                  <c:v>6</c:v>
                </c:pt>
                <c:pt idx="9">
                  <c:v>1</c:v>
                </c:pt>
                <c:pt idx="1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7986473824119298"/>
          <c:y val="8.6202530582168313E-2"/>
          <c:w val="0.30775008268976251"/>
          <c:h val="0.838045128873841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YSVrublevskaya</dc:creator>
  <cp:lastModifiedBy>user</cp:lastModifiedBy>
  <cp:revision>2</cp:revision>
  <dcterms:created xsi:type="dcterms:W3CDTF">2018-08-23T10:44:00Z</dcterms:created>
  <dcterms:modified xsi:type="dcterms:W3CDTF">2018-08-23T10:44:00Z</dcterms:modified>
</cp:coreProperties>
</file>